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7FD7EB">
      <w:pPr>
        <w:spacing w:after="60" w:line="240" w:lineRule="auto"/>
        <w:contextualSpacing/>
        <w:jc w:val="center"/>
        <w:rPr>
          <w:rFonts w:ascii="Arial" w:hAnsi="Arial" w:cs="Arial"/>
          <w:b/>
          <w:sz w:val="24"/>
          <w:szCs w:val="24"/>
        </w:rPr>
      </w:pPr>
      <w:bookmarkStart w:id="10" w:name="_GoBack"/>
      <w:bookmarkEnd w:id="10"/>
      <w:r>
        <w:rPr>
          <w:rFonts w:ascii="Arial" w:hAnsi="Arial" w:cs="Arial"/>
          <w:b/>
          <w:sz w:val="24"/>
          <w:szCs w:val="24"/>
        </w:rPr>
        <w:t>REPUBLIQUE DU NIGER</w:t>
      </w:r>
    </w:p>
    <w:p w14:paraId="4B083193">
      <w:pPr>
        <w:spacing w:after="60" w:line="240" w:lineRule="auto"/>
        <w:contextualSpacing/>
        <w:jc w:val="center"/>
        <w:rPr>
          <w:rFonts w:ascii="Arial" w:hAnsi="Arial" w:cs="Arial"/>
          <w:b/>
          <w:sz w:val="24"/>
          <w:szCs w:val="24"/>
        </w:rPr>
      </w:pPr>
      <w:r>
        <w:rPr>
          <w:rFonts w:ascii="Arial" w:hAnsi="Arial" w:cs="Arial"/>
          <w:b/>
          <w:sz w:val="24"/>
          <w:szCs w:val="24"/>
        </w:rPr>
        <w:t>__________</w:t>
      </w:r>
    </w:p>
    <w:p w14:paraId="644AF7ED">
      <w:pPr>
        <w:spacing w:after="60" w:line="240" w:lineRule="auto"/>
        <w:contextualSpacing/>
        <w:jc w:val="center"/>
        <w:rPr>
          <w:rFonts w:ascii="Arial" w:hAnsi="Arial" w:cs="Arial"/>
          <w:b/>
          <w:sz w:val="24"/>
          <w:szCs w:val="24"/>
        </w:rPr>
      </w:pPr>
    </w:p>
    <w:p w14:paraId="2E340568">
      <w:pPr>
        <w:spacing w:line="240" w:lineRule="auto"/>
        <w:contextualSpacing/>
        <w:jc w:val="center"/>
        <w:rPr>
          <w:rFonts w:ascii="Arial" w:hAnsi="Arial" w:cs="Arial"/>
          <w:b/>
          <w:sz w:val="24"/>
          <w:szCs w:val="24"/>
        </w:rPr>
      </w:pPr>
      <w:r>
        <w:rPr>
          <w:rFonts w:ascii="Arial" w:hAnsi="Arial" w:cs="Arial"/>
          <w:b/>
          <w:sz w:val="24"/>
          <w:szCs w:val="24"/>
        </w:rPr>
        <w:t>MINISTERE DE L’ENVIRONNEMENT, DE L’HYDRAULIQUE ET DE L’ASSAINISSEMENT</w:t>
      </w:r>
    </w:p>
    <w:p w14:paraId="4A92EBC4">
      <w:pPr>
        <w:spacing w:line="240" w:lineRule="auto"/>
        <w:contextualSpacing/>
        <w:jc w:val="center"/>
        <w:rPr>
          <w:rFonts w:ascii="Arial" w:hAnsi="Arial" w:cs="Arial"/>
          <w:b/>
          <w:sz w:val="24"/>
          <w:szCs w:val="24"/>
        </w:rPr>
      </w:pPr>
      <w:r>
        <w:rPr>
          <w:rFonts w:ascii="Arial" w:hAnsi="Arial" w:cs="Arial"/>
          <w:b/>
          <w:sz w:val="24"/>
          <w:szCs w:val="24"/>
        </w:rPr>
        <w:t>____________</w:t>
      </w:r>
    </w:p>
    <w:p w14:paraId="4DC1CF6E">
      <w:pPr>
        <w:spacing w:before="120" w:line="240" w:lineRule="auto"/>
        <w:contextualSpacing/>
        <w:jc w:val="center"/>
        <w:rPr>
          <w:rFonts w:ascii="Arial" w:hAnsi="Arial" w:cs="Arial"/>
          <w:b/>
          <w:bCs/>
          <w:sz w:val="24"/>
          <w:szCs w:val="24"/>
        </w:rPr>
      </w:pPr>
    </w:p>
    <w:p w14:paraId="1E2ED6B8">
      <w:pPr>
        <w:spacing w:before="120" w:line="240" w:lineRule="auto"/>
        <w:contextualSpacing/>
        <w:jc w:val="center"/>
        <w:rPr>
          <w:rFonts w:ascii="Arial" w:hAnsi="Arial" w:cs="Arial"/>
          <w:b/>
          <w:bCs/>
          <w:sz w:val="24"/>
          <w:szCs w:val="24"/>
        </w:rPr>
      </w:pPr>
      <w:r>
        <w:rPr>
          <w:rFonts w:ascii="Arial" w:hAnsi="Arial" w:cs="Arial"/>
          <w:b/>
          <w:bCs/>
          <w:sz w:val="24"/>
          <w:szCs w:val="24"/>
        </w:rPr>
        <w:t>PROJET DE PLATEFORME INTEGREE POUR LA SECURITE DE L’EAU AU NIGER (PISEN)</w:t>
      </w:r>
    </w:p>
    <w:p w14:paraId="56AE5CB0">
      <w:pPr>
        <w:spacing w:before="120" w:line="240" w:lineRule="auto"/>
        <w:contextualSpacing/>
        <w:jc w:val="center"/>
        <w:rPr>
          <w:rFonts w:ascii="Arial" w:hAnsi="Arial" w:cs="Arial"/>
          <w:b/>
          <w:bCs/>
          <w:sz w:val="24"/>
          <w:szCs w:val="24"/>
        </w:rPr>
      </w:pPr>
      <w:r>
        <w:rPr>
          <w:rFonts w:ascii="Arial" w:hAnsi="Arial" w:cs="Arial"/>
          <w:b/>
          <w:bCs/>
          <w:sz w:val="24"/>
          <w:szCs w:val="24"/>
        </w:rPr>
        <w:t>__________</w:t>
      </w:r>
    </w:p>
    <w:p w14:paraId="6233C05E">
      <w:pPr>
        <w:spacing w:before="120" w:line="240" w:lineRule="auto"/>
        <w:contextualSpacing/>
        <w:jc w:val="center"/>
        <w:rPr>
          <w:rFonts w:ascii="Arial" w:hAnsi="Arial" w:cs="Arial"/>
          <w:b/>
          <w:bCs/>
          <w:sz w:val="24"/>
          <w:szCs w:val="24"/>
        </w:rPr>
      </w:pPr>
    </w:p>
    <w:p w14:paraId="24B62D5F">
      <w:pPr>
        <w:spacing w:before="120" w:line="240" w:lineRule="auto"/>
        <w:contextualSpacing/>
        <w:jc w:val="center"/>
        <w:rPr>
          <w:rFonts w:ascii="Arial" w:hAnsi="Arial" w:cs="Arial"/>
          <w:b/>
          <w:bCs/>
          <w:sz w:val="24"/>
          <w:szCs w:val="24"/>
        </w:rPr>
      </w:pPr>
      <w:r>
        <w:rPr>
          <w:rFonts w:ascii="Arial" w:hAnsi="Arial" w:cs="Arial"/>
          <w:b/>
          <w:bCs/>
          <w:sz w:val="24"/>
          <w:szCs w:val="24"/>
        </w:rPr>
        <w:t>UNITE DE GESTION DU PROJET</w:t>
      </w:r>
    </w:p>
    <w:p w14:paraId="297EACE3">
      <w:pPr>
        <w:spacing w:line="240" w:lineRule="auto"/>
        <w:contextualSpacing/>
        <w:jc w:val="center"/>
        <w:rPr>
          <w:rFonts w:ascii="Arial" w:hAnsi="Arial" w:cs="Arial"/>
          <w:b/>
          <w:iCs/>
          <w:sz w:val="24"/>
          <w:szCs w:val="24"/>
        </w:rPr>
      </w:pPr>
      <w:r>
        <w:rPr>
          <w:rFonts w:ascii="Arial" w:hAnsi="Arial" w:cs="Arial"/>
          <w:sz w:val="24"/>
          <w:szCs w:val="24"/>
        </w:rPr>
        <w:drawing>
          <wp:inline distT="0" distB="0" distL="0" distR="0">
            <wp:extent cx="1025525" cy="993140"/>
            <wp:effectExtent l="0" t="0" r="3175" b="0"/>
            <wp:docPr id="95099539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995395" name="Image 1"/>
                    <pic:cNvPicPr>
                      <a:picLocks noChangeAspect="1"/>
                    </pic:cNvPicPr>
                  </pic:nvPicPr>
                  <pic:blipFill>
                    <a:blip r:embed="rId9"/>
                    <a:stretch>
                      <a:fillRect/>
                    </a:stretch>
                  </pic:blipFill>
                  <pic:spPr>
                    <a:xfrm>
                      <a:off x="0" y="0"/>
                      <a:ext cx="1062680" cy="1029462"/>
                    </a:xfrm>
                    <a:prstGeom prst="rect">
                      <a:avLst/>
                    </a:prstGeom>
                  </pic:spPr>
                </pic:pic>
              </a:graphicData>
            </a:graphic>
          </wp:inline>
        </w:drawing>
      </w:r>
    </w:p>
    <w:p w14:paraId="0E911705">
      <w:pPr>
        <w:shd w:val="clear" w:color="auto" w:fill="FFFFFF"/>
        <w:spacing w:line="240" w:lineRule="auto"/>
        <w:ind w:left="-1418" w:right="-1332"/>
        <w:contextualSpacing/>
        <w:jc w:val="center"/>
        <w:rPr>
          <w:rFonts w:ascii="Arial" w:hAnsi="Arial" w:cs="Arial"/>
          <w:b/>
          <w:sz w:val="24"/>
          <w:szCs w:val="24"/>
        </w:rPr>
      </w:pPr>
    </w:p>
    <w:p w14:paraId="5F5E3F8D">
      <w:pPr>
        <w:shd w:val="clear" w:color="auto" w:fill="FFFFFF"/>
        <w:spacing w:line="240" w:lineRule="auto"/>
        <w:ind w:left="-1418" w:right="-1332"/>
        <w:contextualSpacing/>
        <w:jc w:val="center"/>
        <w:rPr>
          <w:rFonts w:ascii="Arial" w:hAnsi="Arial" w:cs="Arial"/>
          <w:b/>
          <w:sz w:val="24"/>
          <w:szCs w:val="24"/>
        </w:rPr>
      </w:pPr>
    </w:p>
    <w:p w14:paraId="79CF8A99">
      <w:pPr>
        <w:shd w:val="clear" w:color="auto" w:fill="FFFFFF"/>
        <w:spacing w:line="240" w:lineRule="auto"/>
        <w:ind w:left="-1418" w:right="-1332"/>
        <w:contextualSpacing/>
        <w:jc w:val="center"/>
        <w:rPr>
          <w:rFonts w:ascii="Arial" w:hAnsi="Arial" w:cs="Arial"/>
          <w:b/>
          <w:sz w:val="24"/>
          <w:szCs w:val="24"/>
        </w:rPr>
      </w:pPr>
    </w:p>
    <w:p w14:paraId="32E447C2">
      <w:pPr>
        <w:spacing w:line="240" w:lineRule="auto"/>
        <w:contextualSpacing/>
        <w:jc w:val="center"/>
        <w:rPr>
          <w:rFonts w:ascii="Arial" w:hAnsi="Arial" w:cs="Arial"/>
          <w:b/>
          <w:sz w:val="24"/>
          <w:szCs w:val="24"/>
        </w:rPr>
      </w:pPr>
      <w:r>
        <w:rPr>
          <w:rFonts w:ascii="Arial" w:hAnsi="Arial" w:cs="Arial"/>
          <w:b/>
          <w:sz w:val="24"/>
          <w:szCs w:val="24"/>
        </w:rPr>
        <w:t>Termes de référence</w:t>
      </w:r>
    </w:p>
    <w:p w14:paraId="7AA1A1CF">
      <w:pPr>
        <w:pBdr>
          <w:top w:val="single" w:color="auto" w:sz="4" w:space="31"/>
          <w:left w:val="single" w:color="auto" w:sz="4" w:space="4"/>
          <w:bottom w:val="single" w:color="auto" w:sz="4" w:space="9"/>
          <w:right w:val="single" w:color="auto" w:sz="4" w:space="4"/>
        </w:pBdr>
        <w:shd w:val="clear" w:color="auto" w:fill="87CBF5"/>
        <w:spacing w:line="240" w:lineRule="auto"/>
        <w:contextualSpacing/>
        <w:jc w:val="both"/>
        <w:rPr>
          <w:rFonts w:ascii="Arial" w:hAnsi="Arial" w:cs="Arial"/>
          <w:b/>
          <w:sz w:val="24"/>
          <w:szCs w:val="24"/>
        </w:rPr>
      </w:pPr>
      <w:r>
        <w:rPr>
          <w:rFonts w:ascii="Arial" w:hAnsi="Arial" w:cs="Arial"/>
          <w:b/>
          <w:bCs/>
          <w:sz w:val="24"/>
          <w:szCs w:val="24"/>
          <w:lang w:eastAsia="fr-FR"/>
        </w:rPr>
        <w:t xml:space="preserve">Recrutement d’un (e) (1) Assistant (e) régional (e) en Sauvegarde Environnementale et Sociale dans les sept (7) Unités de Coordination Régionale du PISEN par régions pour les régions d’Agadez, Diffa, Dosso, Maradi, Tahoua, Tillabéry et Zinder </w:t>
      </w:r>
    </w:p>
    <w:p w14:paraId="79B185D0">
      <w:pPr>
        <w:spacing w:line="240" w:lineRule="auto"/>
        <w:contextualSpacing/>
        <w:jc w:val="both"/>
        <w:rPr>
          <w:rFonts w:ascii="Arial" w:hAnsi="Arial" w:cs="Arial"/>
          <w:b/>
          <w:sz w:val="24"/>
          <w:szCs w:val="24"/>
        </w:rPr>
      </w:pPr>
    </w:p>
    <w:p w14:paraId="44026331">
      <w:pPr>
        <w:spacing w:line="240" w:lineRule="auto"/>
        <w:contextualSpacing/>
        <w:jc w:val="both"/>
        <w:rPr>
          <w:rFonts w:ascii="Arial" w:hAnsi="Arial" w:cs="Arial"/>
          <w:b/>
          <w:sz w:val="24"/>
          <w:szCs w:val="24"/>
        </w:rPr>
      </w:pPr>
    </w:p>
    <w:p w14:paraId="14199C07">
      <w:pPr>
        <w:spacing w:line="240" w:lineRule="auto"/>
        <w:contextualSpacing/>
        <w:jc w:val="both"/>
        <w:rPr>
          <w:rFonts w:ascii="Arial" w:hAnsi="Arial" w:cs="Arial"/>
          <w:b/>
          <w:sz w:val="24"/>
          <w:szCs w:val="24"/>
        </w:rPr>
      </w:pPr>
    </w:p>
    <w:p w14:paraId="3583868B">
      <w:pPr>
        <w:spacing w:line="240" w:lineRule="auto"/>
        <w:contextualSpacing/>
        <w:jc w:val="both"/>
        <w:rPr>
          <w:rFonts w:ascii="Arial" w:hAnsi="Arial" w:cs="Arial"/>
          <w:b/>
          <w:sz w:val="24"/>
          <w:szCs w:val="24"/>
        </w:rPr>
      </w:pPr>
    </w:p>
    <w:p w14:paraId="11CD5FB6">
      <w:pPr>
        <w:spacing w:line="240" w:lineRule="auto"/>
        <w:contextualSpacing/>
        <w:jc w:val="both"/>
        <w:rPr>
          <w:rFonts w:ascii="Arial" w:hAnsi="Arial" w:cs="Arial"/>
          <w:b/>
          <w:sz w:val="24"/>
          <w:szCs w:val="24"/>
        </w:rPr>
      </w:pPr>
    </w:p>
    <w:p w14:paraId="0EDD7B19">
      <w:pPr>
        <w:spacing w:line="240" w:lineRule="auto"/>
        <w:contextualSpacing/>
        <w:jc w:val="both"/>
        <w:rPr>
          <w:rFonts w:ascii="Arial" w:hAnsi="Arial" w:cs="Arial"/>
          <w:b/>
          <w:sz w:val="24"/>
          <w:szCs w:val="24"/>
        </w:rPr>
      </w:pPr>
    </w:p>
    <w:p w14:paraId="43D918A9">
      <w:pPr>
        <w:spacing w:line="240" w:lineRule="auto"/>
        <w:contextualSpacing/>
        <w:jc w:val="right"/>
        <w:rPr>
          <w:rFonts w:ascii="Arial" w:hAnsi="Arial" w:cs="Arial"/>
          <w:b/>
          <w:bCs/>
          <w:sz w:val="24"/>
          <w:szCs w:val="24"/>
          <w:lang w:eastAsia="fr-FR"/>
        </w:rPr>
        <w:sectPr>
          <w:footerReference r:id="rId7" w:type="first"/>
          <w:footerReference r:id="rId5" w:type="default"/>
          <w:footerReference r:id="rId6" w:type="even"/>
          <w:pgSz w:w="11906" w:h="16838"/>
          <w:pgMar w:top="1417" w:right="1417" w:bottom="1417" w:left="1417" w:header="708" w:footer="708" w:gutter="0"/>
          <w:cols w:space="708" w:num="1"/>
          <w:docGrid w:linePitch="360" w:charSpace="0"/>
        </w:sectPr>
      </w:pPr>
      <w:r>
        <w:rPr>
          <w:rFonts w:ascii="Arial" w:hAnsi="Arial" w:cs="Arial"/>
          <w:b/>
          <w:sz w:val="24"/>
          <w:szCs w:val="24"/>
        </w:rPr>
        <w:t xml:space="preserve">Juillet 2026 </w:t>
      </w:r>
    </w:p>
    <w:p w14:paraId="5B5616CE">
      <w:pPr>
        <w:pStyle w:val="2"/>
        <w:numPr>
          <w:ilvl w:val="0"/>
          <w:numId w:val="1"/>
        </w:numPr>
        <w:spacing w:line="240" w:lineRule="auto"/>
        <w:contextualSpacing/>
        <w:rPr>
          <w:rFonts w:ascii="Arial" w:hAnsi="Arial" w:eastAsia="Times New Roman" w:cs="Arial"/>
          <w:b/>
          <w:bCs/>
          <w:color w:val="000000"/>
          <w:sz w:val="24"/>
          <w:szCs w:val="24"/>
          <w:lang w:eastAsia="fr-FR"/>
        </w:rPr>
      </w:pPr>
      <w:r>
        <w:rPr>
          <w:rFonts w:ascii="Arial" w:hAnsi="Arial" w:eastAsia="Times New Roman" w:cs="Arial"/>
          <w:b/>
          <w:bCs/>
          <w:sz w:val="24"/>
          <w:szCs w:val="24"/>
          <w:lang w:eastAsia="fr-FR"/>
        </w:rPr>
        <w:t>Contexte</w:t>
      </w:r>
    </w:p>
    <w:p w14:paraId="6A097E30">
      <w:pPr>
        <w:shd w:val="clear" w:color="auto" w:fill="FFFFFF"/>
        <w:spacing w:after="0" w:line="240" w:lineRule="auto"/>
        <w:contextualSpacing/>
        <w:textAlignment w:val="baseline"/>
        <w:rPr>
          <w:rFonts w:ascii="Arial" w:hAnsi="Arial" w:eastAsia="Times New Roman" w:cs="Arial"/>
          <w:color w:val="000000"/>
          <w:kern w:val="0"/>
          <w:sz w:val="24"/>
          <w:szCs w:val="24"/>
          <w:lang w:eastAsia="fr-FR"/>
          <w14:ligatures w14:val="none"/>
        </w:rPr>
      </w:pPr>
    </w:p>
    <w:p w14:paraId="5FC318B5">
      <w:pPr>
        <w:pStyle w:val="40"/>
        <w:spacing w:after="138"/>
        <w:contextualSpacing/>
        <w:jc w:val="both"/>
        <w:rPr>
          <w:rFonts w:ascii="Arial" w:hAnsi="Arial" w:cs="Arial"/>
          <w:lang w:val="fr-FR"/>
        </w:rPr>
      </w:pPr>
      <w:r>
        <w:rPr>
          <w:rFonts w:ascii="Arial" w:hAnsi="Arial" w:cs="Arial"/>
          <w:lang w:val="fr-FR"/>
        </w:rPr>
        <w:t xml:space="preserve">Pays du Sahel, le Niger est confronté à un certain nombre de défis qui se renforcent mutuellement pour aggraver une sécurité hydrique </w:t>
      </w:r>
      <w:r>
        <w:rPr>
          <w:rFonts w:ascii="Arial" w:hAnsi="Arial" w:eastAsia="Calibri" w:cs="Arial"/>
          <w:color w:val="auto"/>
          <w:lang w:val="fr-FR"/>
        </w:rPr>
        <w:t>déjà précaire,</w:t>
      </w:r>
      <w:r>
        <w:rPr>
          <w:rFonts w:ascii="Arial" w:hAnsi="Arial" w:cs="Arial"/>
          <w:lang w:val="fr-FR"/>
        </w:rPr>
        <w:t xml:space="preserve"> y compris la pauvreté et le manque de diversification économique, la forte variabilité du climat, la dégradation des ressources naturelles, la fragilité et la forte croissance démographique. La pauvreté généralisée au Niger est étroitement liée au fait que des communautés entières dépendent totalement de l’exploitation des ressources naturelles pour leur subsistance, entraînant la dégradation des paysages et des écosystèmes. Cette dépendance est exacerbée par les lacunes prévalentes des infrastructures et la faible capacité de ces communautés à faire face aux impacts du changement climatique. Le changement climatique continue d’accroitre la fréquence et la sévérité des sécheresses et des inondations, accélère la désertification, et réduit la prévisibilité des précipitations, faisant varier les niveaux de stress hydrique entre saisons et menaçant, de ce fait, la productivité agricole et, par extension, la sécurité alimentaire. La mauvaise gestion et exploitation des ressources en eau et la dégradation avancée des terres causées par des pratiques agricoles et de pâturage abusif, et la salinité des sols, ont renforcé la concurrence pour les rares ressources, notamment l’eau et les terres arables. En même temps, d’autres facteurs étroitement liés à l’insécurité hydrique, y compris l’insécurité régionale, le chômage des jeunes et les griefs concernant l’allocation des ressources gouvernementales, contribuent à alimenter les risques élevés de conflit et de fragilité, entraînant une mauvaise conjoncture économique et de mauvais résultats en matière de capital humain. Les mesures d’adaptation au changement climatique et de protection des ressources en eau prises par le Niger se sont révélées insuffisantes face à ces défis, alors même que l’absence de système global de protection sociale a renforcé les pièges de la pauvreté qui sont présents. </w:t>
      </w:r>
    </w:p>
    <w:p w14:paraId="5A97AED2">
      <w:pPr>
        <w:pStyle w:val="40"/>
        <w:contextualSpacing/>
        <w:jc w:val="both"/>
        <w:rPr>
          <w:rFonts w:ascii="Arial" w:hAnsi="Arial" w:eastAsia="Calibri" w:cs="Arial"/>
          <w:color w:val="auto"/>
          <w:lang w:val="fr-FR"/>
        </w:rPr>
      </w:pPr>
      <w:bookmarkStart w:id="0" w:name="_Hlk116393590"/>
      <w:r>
        <w:rPr>
          <w:rFonts w:ascii="Arial" w:hAnsi="Arial" w:cs="Arial"/>
          <w:lang w:val="fr-FR"/>
        </w:rPr>
        <w:t xml:space="preserve">Le projet de Plateforme intégrée pour la sécurité de l’eau au Niger (PISEN) </w:t>
      </w:r>
      <w:bookmarkEnd w:id="0"/>
      <w:r>
        <w:rPr>
          <w:rFonts w:ascii="Arial" w:hAnsi="Arial" w:cs="Arial"/>
          <w:lang w:val="fr-FR"/>
        </w:rPr>
        <w:t>se propose de surmonter ces défis à travers l’adoption d’une approche par plateforme intégrée à la planification, aux politiques et aux investissements liés à l’eau. Cette approche vise à répondre aux problématiques du niveau des ménages à l’échelle des provinces relatifs à la gestion des connaissances et la protection des ressources en eau associés aux environnements naturels en se concentrant sur quelques sous-bassins prioritaires. Les interventions reflètent la nature multidimensionnelle de la sécurité hydrique, couvrant : la gestion des ressources en eau et la régénération des écosystèmes, l’irrigation et l’agriculture pluviale optimisée, la gestion des inondations et des sécheresses, et l’eau potable et l’assainissement durables et gérés en toute sécurité. Le projet ne vise pas à aborder toutes les facettes du travail dans chacun de ces sous-secteurs, mais plutôt à fournir une approche qui renforce les institutions et les pratiques autour de l’utilisation et de la gestion des ressources en eau. Compte tenu de la diversité des besoins des parties prenantes, une approche consultative intégrée et multisectorielle de la gestion de l’eau est nécessaire pour faciliter la prise de décision systématique et fondée sur les données en vue de l’utilisation durable de ces ressources dans des scénarios de changement climatique</w:t>
      </w:r>
      <w:r>
        <w:rPr>
          <w:rFonts w:ascii="Arial" w:hAnsi="Arial" w:eastAsia="Calibri" w:cs="Arial"/>
          <w:color w:val="auto"/>
          <w:lang w:val="fr-FR"/>
        </w:rPr>
        <w:t>.</w:t>
      </w:r>
    </w:p>
    <w:p w14:paraId="636B89CA">
      <w:pPr>
        <w:pStyle w:val="2"/>
        <w:numPr>
          <w:ilvl w:val="0"/>
          <w:numId w:val="1"/>
        </w:numPr>
        <w:spacing w:line="240" w:lineRule="auto"/>
        <w:contextualSpacing/>
        <w:rPr>
          <w:rFonts w:ascii="Arial" w:hAnsi="Arial" w:eastAsia="Times New Roman" w:cs="Arial"/>
          <w:b/>
          <w:bCs/>
          <w:sz w:val="24"/>
          <w:szCs w:val="24"/>
          <w:lang w:eastAsia="fr-FR"/>
        </w:rPr>
      </w:pPr>
      <w:r>
        <w:rPr>
          <w:rFonts w:ascii="Arial" w:hAnsi="Arial" w:eastAsia="Times New Roman" w:cs="Arial"/>
          <w:b/>
          <w:bCs/>
          <w:sz w:val="24"/>
          <w:szCs w:val="24"/>
          <w:lang w:eastAsia="fr-FR"/>
        </w:rPr>
        <w:t>Description du Projet PISEN</w:t>
      </w:r>
    </w:p>
    <w:p w14:paraId="1DB1F2AE">
      <w:pPr>
        <w:spacing w:line="240" w:lineRule="auto"/>
        <w:contextualSpacing/>
        <w:jc w:val="both"/>
        <w:rPr>
          <w:rFonts w:ascii="Arial" w:hAnsi="Arial" w:cs="Arial"/>
          <w:bCs/>
          <w:sz w:val="24"/>
          <w:szCs w:val="24"/>
        </w:rPr>
      </w:pPr>
      <w:r>
        <w:rPr>
          <w:rFonts w:ascii="Arial" w:hAnsi="Arial" w:eastAsia="Calibri" w:cs="Arial"/>
          <w:bCs/>
          <w:sz w:val="24"/>
          <w:szCs w:val="24"/>
        </w:rPr>
        <w:t>Le Projet PISEN s’appuie sur les récentes réformes et initiatives politiques (en particulier le PANGIRE) pour mettre en œuvre une approche systématique à la sécurité hydrique, reconnaissant le rôle central qu’elle joue dans le capital et le développement humains. Le Projet applique une approche multisectorielle, appelée « plateforme de l’eau », dans le cadre de laquelle l’importance d’une prise de décision décentralisée concertée, mais aussi coordonnée, pour la gestion durable des ressources en eau au Niger, pendant et au-delà du PISEN, est reconnue. La plateforme de l’eau place la commune, qui est l’unité administrative de base des réformes de décentralisation du Niger, au centre des investissements liés à l’eau dans de multiples secteurs.</w:t>
      </w:r>
      <w:r>
        <w:rPr>
          <w:rStyle w:val="12"/>
          <w:rFonts w:ascii="Arial" w:hAnsi="Arial" w:cs="Arial"/>
          <w:bCs/>
          <w:sz w:val="24"/>
          <w:szCs w:val="24"/>
        </w:rPr>
        <w:footnoteReference w:id="0"/>
      </w:r>
      <w:r>
        <w:rPr>
          <w:rFonts w:ascii="Arial" w:hAnsi="Arial" w:eastAsia="Calibri" w:cs="Arial"/>
          <w:bCs/>
          <w:sz w:val="24"/>
          <w:szCs w:val="24"/>
        </w:rPr>
        <w:t xml:space="preserve"> Les institutions du sous-bassin, faisant partie du dispositif institutionnel du PANGIRE/Plateforme de l’eau, quant à elles, assureront l'utilisation et la conservation coordonnées des ressources en eau dans toutes les communes.</w:t>
      </w:r>
    </w:p>
    <w:p w14:paraId="4EB7C8F6">
      <w:pPr>
        <w:spacing w:line="240" w:lineRule="auto"/>
        <w:contextualSpacing/>
        <w:jc w:val="both"/>
        <w:rPr>
          <w:rFonts w:ascii="Arial" w:hAnsi="Arial" w:eastAsia="Calibri" w:cs="Arial"/>
          <w:bCs/>
          <w:sz w:val="24"/>
          <w:szCs w:val="24"/>
        </w:rPr>
      </w:pPr>
      <w:r>
        <w:rPr>
          <w:rFonts w:ascii="Arial" w:hAnsi="Arial" w:eastAsia="Calibri" w:cs="Arial"/>
          <w:bCs/>
          <w:sz w:val="24"/>
          <w:szCs w:val="24"/>
        </w:rPr>
        <w:t>La plateforme de l'eau vise à assurer une planification systématique et tenant compte du climat au niveau de la commune, où les activités liées à l'eau et les priorités d'investissement déterminées par chaque communauté associée sont agrégées et harmonisées, en coordination avec les agences de sous-bassin qui préservent la qualité et la durabilité des ressources en eau des sous-bassin concerné, favorisant la résilience à la sécheresse et aux inondations et les options à faible émission de carbone. Dans ce contexte, les activités du projet sont à la fois adaptées localement et se renforcent mutuellement aux niveaux régional et national pour maximiser l'impact et la durabilité. Bien que le projet soit mis en œuvre dans 10 des 15 sous-bassins prioritaires du pays, sa mise en œuvre réussie fournira une feuille de route pour l'expansion à l'échelle nationale de l'approche de la plate-forme à l'avenir. La durabilité de la plate-forme de l’eau sera soutenue par un engagement citoyen solide dans toutes les composantes du projet et l'utilisation de technologies disruptives adaptées localement.</w:t>
      </w:r>
    </w:p>
    <w:p w14:paraId="7BA577B4">
      <w:pPr>
        <w:spacing w:line="240" w:lineRule="auto"/>
        <w:contextualSpacing/>
        <w:jc w:val="both"/>
        <w:rPr>
          <w:rFonts w:ascii="Arial" w:hAnsi="Arial" w:eastAsia="Calibri" w:cs="Arial"/>
          <w:bCs/>
          <w:sz w:val="24"/>
          <w:szCs w:val="24"/>
        </w:rPr>
      </w:pPr>
      <w:r>
        <w:rPr>
          <w:rFonts w:ascii="Arial" w:hAnsi="Arial" w:eastAsia="Calibri" w:cs="Arial"/>
          <w:b/>
          <w:sz w:val="24"/>
          <w:szCs w:val="24"/>
        </w:rPr>
        <w:t>Les objectifs de développement du PISEN</w:t>
      </w:r>
      <w:r>
        <w:rPr>
          <w:rFonts w:ascii="Arial" w:hAnsi="Arial" w:eastAsia="Calibri" w:cs="Arial"/>
          <w:bCs/>
          <w:sz w:val="24"/>
          <w:szCs w:val="24"/>
        </w:rPr>
        <w:t xml:space="preserve"> sont de renforcer la gestion des ressources en eau, accroître l'accès aux services d'eau et améliorer la résilience à la variabilité de l'eau induite par le climat dans certaines zones du Niger. </w:t>
      </w:r>
    </w:p>
    <w:p w14:paraId="15EE3BA4">
      <w:pPr>
        <w:spacing w:line="240" w:lineRule="auto"/>
        <w:contextualSpacing/>
        <w:jc w:val="both"/>
        <w:rPr>
          <w:rFonts w:ascii="Arial" w:hAnsi="Arial" w:eastAsia="Calibri" w:cs="Arial"/>
          <w:bCs/>
          <w:sz w:val="24"/>
          <w:szCs w:val="24"/>
        </w:rPr>
      </w:pPr>
      <w:r>
        <w:rPr>
          <w:rFonts w:ascii="Arial" w:hAnsi="Arial" w:eastAsia="Calibri" w:cs="Arial"/>
          <w:b/>
          <w:sz w:val="24"/>
          <w:szCs w:val="24"/>
        </w:rPr>
        <w:t>De façon spécifique</w:t>
      </w:r>
      <w:r>
        <w:rPr>
          <w:rFonts w:ascii="Arial" w:hAnsi="Arial" w:eastAsia="Calibri" w:cs="Arial"/>
          <w:bCs/>
          <w:sz w:val="24"/>
          <w:szCs w:val="24"/>
        </w:rPr>
        <w:t>, le projet vise à (i) améliorer la connaissance des ressources en eau et la capacité de gestion au moins dans la zone du projet ; (ii) mobiliser les ressources en eau et promouvoir leur utilisation durable dans divers secteurs, notamment pour la consommation, l'irrigation, l'élevage et la pisciculture ; (iii) restaurer certains paysages de bassins versants dans la zone du projet afin d'améliorer la résilience des moyens de subsistance agricoles et ruraux et de restaurer les fonctions des écosystèmes dans la conservation des terres et de l'eau ; (iv) améliorer les revenus des ménages et la sécurité alimentaire en développant la collecte des eaux de pluie, la gestion de l'humidité des sols, la petite irrigation en vue d’améliorer la productivité agricole et la pisciculture lorsque cela est possible ; et (v) améliorer l'accès à l'eau potable et aux services d'assainissement.</w:t>
      </w:r>
      <w:bookmarkStart w:id="1" w:name="_Hlk116394580"/>
    </w:p>
    <w:p w14:paraId="6F72B0CE">
      <w:pPr>
        <w:spacing w:line="240" w:lineRule="auto"/>
        <w:contextualSpacing/>
        <w:jc w:val="both"/>
        <w:rPr>
          <w:rFonts w:ascii="Arial" w:hAnsi="Arial" w:cs="Arial"/>
          <w:sz w:val="24"/>
          <w:szCs w:val="24"/>
        </w:rPr>
      </w:pPr>
      <w:r>
        <w:rPr>
          <w:rFonts w:ascii="Arial" w:hAnsi="Arial" w:cs="Arial"/>
          <w:sz w:val="24"/>
          <w:szCs w:val="24"/>
        </w:rPr>
        <w:t>L’exécution des activités du PISEN se fera au travers quatre (4) composantes que sont :</w:t>
      </w:r>
    </w:p>
    <w:bookmarkEnd w:id="1"/>
    <w:p w14:paraId="3F03541E">
      <w:pPr>
        <w:spacing w:line="240" w:lineRule="auto"/>
        <w:contextualSpacing/>
        <w:jc w:val="both"/>
        <w:rPr>
          <w:rFonts w:ascii="Arial" w:hAnsi="Arial" w:eastAsia="Calibri" w:cs="Arial"/>
          <w:b/>
          <w:sz w:val="24"/>
          <w:szCs w:val="24"/>
        </w:rPr>
      </w:pPr>
      <w:r>
        <w:rPr>
          <w:rFonts w:ascii="Arial" w:hAnsi="Arial" w:eastAsia="Calibri" w:cs="Arial"/>
          <w:b/>
          <w:sz w:val="24"/>
          <w:szCs w:val="24"/>
        </w:rPr>
        <w:t xml:space="preserve">Composante 1 : Investissements intégrés pour la sécurité de l’eau </w:t>
      </w:r>
    </w:p>
    <w:p w14:paraId="7DBECB93">
      <w:pPr>
        <w:spacing w:line="240" w:lineRule="auto"/>
        <w:contextualSpacing/>
        <w:jc w:val="both"/>
        <w:rPr>
          <w:rFonts w:ascii="Arial" w:hAnsi="Arial" w:eastAsia="Calibri" w:cs="Arial"/>
          <w:bCs/>
          <w:sz w:val="24"/>
          <w:szCs w:val="24"/>
        </w:rPr>
      </w:pPr>
      <w:r>
        <w:rPr>
          <w:rFonts w:ascii="Arial" w:hAnsi="Arial" w:eastAsia="Calibri" w:cs="Arial"/>
          <w:bCs/>
          <w:sz w:val="24"/>
          <w:szCs w:val="24"/>
        </w:rPr>
        <w:t xml:space="preserve">Cette composante vise à soutenir le développement institutionnel pour une meilleure gestion des ressources en eau, ainsi que les investissements en amont dans la restauration des bassins versants et la mobilisation des ressources en eau. </w:t>
      </w:r>
    </w:p>
    <w:p w14:paraId="1B94CDF3">
      <w:pPr>
        <w:spacing w:line="240" w:lineRule="auto"/>
        <w:contextualSpacing/>
        <w:jc w:val="both"/>
        <w:rPr>
          <w:rFonts w:ascii="Arial" w:hAnsi="Arial" w:eastAsia="Calibri" w:cs="Arial"/>
          <w:b/>
          <w:sz w:val="24"/>
          <w:szCs w:val="24"/>
        </w:rPr>
      </w:pPr>
      <w:r>
        <w:rPr>
          <w:rFonts w:ascii="Arial" w:hAnsi="Arial" w:eastAsia="Calibri" w:cs="Arial"/>
          <w:b/>
          <w:sz w:val="24"/>
          <w:szCs w:val="24"/>
        </w:rPr>
        <w:t>Composante 2 : Expansion des services intégrés de l’eau</w:t>
      </w:r>
    </w:p>
    <w:p w14:paraId="36ADAD62">
      <w:pPr>
        <w:spacing w:line="240" w:lineRule="auto"/>
        <w:contextualSpacing/>
        <w:jc w:val="both"/>
        <w:rPr>
          <w:rFonts w:ascii="Arial" w:hAnsi="Arial" w:eastAsia="Calibri" w:cs="Arial"/>
          <w:bCs/>
          <w:sz w:val="24"/>
          <w:szCs w:val="24"/>
        </w:rPr>
      </w:pPr>
      <w:r>
        <w:rPr>
          <w:rFonts w:ascii="Arial" w:hAnsi="Arial" w:eastAsia="Calibri" w:cs="Arial"/>
          <w:bCs/>
          <w:sz w:val="24"/>
          <w:szCs w:val="24"/>
        </w:rPr>
        <w:t xml:space="preserve">Cette composante s'appuie sur les activités menées dans le cadre de la composante 1, en particulier la gestion des ressources en eau dans la sous-composante 1.1, l'atténuation de la contamination fécale des sources d'eau dans la sous-composante 1.2 et la mobilisation des ressources en eau dans la sous-composante 1.3. </w:t>
      </w:r>
    </w:p>
    <w:p w14:paraId="3FE154BB">
      <w:pPr>
        <w:spacing w:line="240" w:lineRule="auto"/>
        <w:contextualSpacing/>
        <w:jc w:val="both"/>
        <w:rPr>
          <w:rFonts w:ascii="Arial" w:hAnsi="Arial" w:eastAsia="Calibri" w:cs="Arial"/>
          <w:b/>
          <w:sz w:val="24"/>
          <w:szCs w:val="24"/>
        </w:rPr>
      </w:pPr>
      <w:r>
        <w:rPr>
          <w:rFonts w:ascii="Arial" w:hAnsi="Arial" w:eastAsia="Calibri" w:cs="Arial"/>
          <w:b/>
          <w:sz w:val="24"/>
          <w:szCs w:val="24"/>
        </w:rPr>
        <w:t xml:space="preserve">Composante 3 : Gestion de Projet et Renforcement de capacités  </w:t>
      </w:r>
    </w:p>
    <w:p w14:paraId="427C5264">
      <w:pPr>
        <w:spacing w:line="240" w:lineRule="auto"/>
        <w:contextualSpacing/>
        <w:jc w:val="both"/>
        <w:rPr>
          <w:rFonts w:ascii="Arial" w:hAnsi="Arial" w:eastAsia="Calibri" w:cs="Arial"/>
          <w:bCs/>
          <w:sz w:val="24"/>
          <w:szCs w:val="24"/>
        </w:rPr>
      </w:pPr>
      <w:r>
        <w:rPr>
          <w:rFonts w:ascii="Arial" w:hAnsi="Arial" w:eastAsia="Calibri" w:cs="Arial"/>
          <w:bCs/>
          <w:sz w:val="24"/>
          <w:szCs w:val="24"/>
        </w:rPr>
        <w:t>Cette composante vise à financer les coûts opérationnels de l'unité de gestion du projet (UGP).  Elle appuiera (i) la coordination et la gestion des activités du projet, (ii) le financement et le contrôle qualité des documents de sauvegarde, (iii) le renforcement des capacités des agences d'exécution du projet, (iv) le suivi-évaluation (S&amp;E) et la gestion des connaissances des activités du projet et (v) la mise en œuvre du mécanisme d'engagement citoyens et de règlement des griefs en étroite collaboration avec les agences d'exécution, les communes et les communautés bénéficiaires.</w:t>
      </w:r>
    </w:p>
    <w:p w14:paraId="3671929B">
      <w:pPr>
        <w:spacing w:line="240" w:lineRule="auto"/>
        <w:contextualSpacing/>
        <w:jc w:val="both"/>
        <w:rPr>
          <w:rFonts w:ascii="Arial" w:hAnsi="Arial" w:eastAsia="Calibri" w:cs="Arial"/>
          <w:b/>
          <w:sz w:val="24"/>
          <w:szCs w:val="24"/>
        </w:rPr>
      </w:pPr>
      <w:r>
        <w:rPr>
          <w:rFonts w:ascii="Arial" w:hAnsi="Arial" w:eastAsia="Calibri" w:cs="Arial"/>
          <w:b/>
          <w:sz w:val="24"/>
          <w:szCs w:val="24"/>
        </w:rPr>
        <w:t xml:space="preserve">Composante 4 : Composante d’interventions d’urgence Conditionnelle </w:t>
      </w:r>
    </w:p>
    <w:p w14:paraId="384E7021">
      <w:pPr>
        <w:spacing w:line="240" w:lineRule="auto"/>
        <w:contextualSpacing/>
        <w:jc w:val="both"/>
        <w:rPr>
          <w:rFonts w:ascii="Arial" w:hAnsi="Arial" w:cs="Arial"/>
          <w:sz w:val="24"/>
          <w:szCs w:val="24"/>
        </w:rPr>
      </w:pPr>
      <w:r>
        <w:rPr>
          <w:rFonts w:ascii="Arial" w:hAnsi="Arial" w:eastAsia="Calibri" w:cs="Arial"/>
          <w:bCs/>
          <w:sz w:val="24"/>
          <w:szCs w:val="24"/>
        </w:rPr>
        <w:t>Cette composante renforcera la capacité du Niger à répondre aux situations d’urgence, entre autres le financement de biens d’urgence critiques ou de relèvement d’urgence et des services associés, ainsi que la fourniture ciblée d’un soutien post-catastrophe aux ménages et aux individus touchés.</w:t>
      </w:r>
    </w:p>
    <w:p w14:paraId="505ADF40">
      <w:pPr>
        <w:spacing w:after="0" w:line="240" w:lineRule="auto"/>
        <w:contextualSpacing/>
        <w:jc w:val="both"/>
        <w:rPr>
          <w:rFonts w:ascii="Arial" w:hAnsi="Arial" w:cs="Arial"/>
          <w:sz w:val="24"/>
          <w:szCs w:val="24"/>
        </w:rPr>
      </w:pPr>
      <w:r>
        <w:rPr>
          <w:rFonts w:ascii="Arial" w:hAnsi="Arial" w:cs="Arial"/>
          <w:b/>
          <w:bCs/>
          <w:sz w:val="24"/>
          <w:szCs w:val="24"/>
        </w:rPr>
        <w:t>Localisation des zones d’intervention du programme</w:t>
      </w:r>
      <w:r>
        <w:rPr>
          <w:rFonts w:ascii="Arial" w:hAnsi="Arial" w:cs="Arial"/>
          <w:sz w:val="24"/>
          <w:szCs w:val="24"/>
        </w:rPr>
        <w:t> : les zones présélectionnées pour la mise en œuvre du Programme de la Plateforme eau sont :</w:t>
      </w:r>
    </w:p>
    <w:p w14:paraId="49336E65">
      <w:pPr>
        <w:pStyle w:val="35"/>
        <w:numPr>
          <w:ilvl w:val="0"/>
          <w:numId w:val="2"/>
        </w:numPr>
        <w:overflowPunct w:val="0"/>
        <w:autoSpaceDE w:val="0"/>
        <w:autoSpaceDN w:val="0"/>
        <w:spacing w:before="60" w:after="0" w:line="240" w:lineRule="auto"/>
        <w:ind w:left="357" w:hanging="357"/>
        <w:jc w:val="both"/>
        <w:rPr>
          <w:rFonts w:ascii="Arial" w:hAnsi="Arial" w:cs="Arial"/>
          <w:sz w:val="24"/>
          <w:szCs w:val="24"/>
        </w:rPr>
      </w:pPr>
      <w:r>
        <w:rPr>
          <w:rFonts w:ascii="Arial" w:hAnsi="Arial" w:cs="Arial"/>
          <w:sz w:val="24"/>
          <w:szCs w:val="24"/>
        </w:rPr>
        <w:t>Région d’Agadez, zone du sous bassin du Kori Telwa, département de Tchirozerine (dont la commune urbaine d’Agadez) ;</w:t>
      </w:r>
    </w:p>
    <w:p w14:paraId="551EF1DB">
      <w:pPr>
        <w:pStyle w:val="35"/>
        <w:numPr>
          <w:ilvl w:val="0"/>
          <w:numId w:val="2"/>
        </w:numPr>
        <w:overflowPunct w:val="0"/>
        <w:autoSpaceDE w:val="0"/>
        <w:autoSpaceDN w:val="0"/>
        <w:spacing w:before="60" w:after="0" w:line="240" w:lineRule="auto"/>
        <w:ind w:left="357" w:hanging="357"/>
        <w:jc w:val="both"/>
        <w:rPr>
          <w:rFonts w:ascii="Arial" w:hAnsi="Arial" w:cs="Arial"/>
          <w:sz w:val="24"/>
          <w:szCs w:val="24"/>
        </w:rPr>
      </w:pPr>
      <w:r>
        <w:rPr>
          <w:rFonts w:ascii="Arial" w:hAnsi="Arial" w:cs="Arial"/>
          <w:sz w:val="24"/>
          <w:szCs w:val="24"/>
        </w:rPr>
        <w:t>Région de Diffa, zone du sous bassin du Manga, départements de Diffa, Goudoumaria et Mainé Soroa ;</w:t>
      </w:r>
    </w:p>
    <w:p w14:paraId="1F313E3F">
      <w:pPr>
        <w:pStyle w:val="35"/>
        <w:numPr>
          <w:ilvl w:val="0"/>
          <w:numId w:val="2"/>
        </w:numPr>
        <w:overflowPunct w:val="0"/>
        <w:autoSpaceDE w:val="0"/>
        <w:autoSpaceDN w:val="0"/>
        <w:spacing w:before="60" w:after="0" w:line="240" w:lineRule="auto"/>
        <w:ind w:left="357" w:hanging="357"/>
        <w:jc w:val="both"/>
        <w:rPr>
          <w:rFonts w:ascii="Arial" w:hAnsi="Arial" w:cs="Arial"/>
          <w:sz w:val="24"/>
          <w:szCs w:val="24"/>
        </w:rPr>
      </w:pPr>
      <w:r>
        <w:rPr>
          <w:rFonts w:ascii="Arial" w:hAnsi="Arial" w:cs="Arial"/>
          <w:sz w:val="24"/>
          <w:szCs w:val="24"/>
        </w:rPr>
        <w:t>Région de Dosso, zone du sous bassin de Dallol Maouri, départements de Gaya, Dioundjou, Tibiri et Dogondoutchi ;</w:t>
      </w:r>
    </w:p>
    <w:p w14:paraId="3F2DA8A4">
      <w:pPr>
        <w:pStyle w:val="35"/>
        <w:numPr>
          <w:ilvl w:val="0"/>
          <w:numId w:val="2"/>
        </w:numPr>
        <w:overflowPunct w:val="0"/>
        <w:autoSpaceDE w:val="0"/>
        <w:autoSpaceDN w:val="0"/>
        <w:spacing w:before="60" w:after="0" w:line="240" w:lineRule="auto"/>
        <w:ind w:left="357" w:hanging="357"/>
        <w:jc w:val="both"/>
        <w:rPr>
          <w:rFonts w:ascii="Arial" w:hAnsi="Arial" w:cs="Arial"/>
          <w:sz w:val="24"/>
          <w:szCs w:val="24"/>
        </w:rPr>
      </w:pPr>
      <w:r>
        <w:rPr>
          <w:rFonts w:ascii="Arial" w:hAnsi="Arial" w:cs="Arial"/>
          <w:sz w:val="24"/>
          <w:szCs w:val="24"/>
        </w:rPr>
        <w:t>Région de Maradi, zone des sous bassins des Goulbi N’Maradi et Goulbi N’Kaba, départements de Madarounfa, GuidanRoumdji, Aguié, Tessaoua, Gazaoua et Mayahi ;</w:t>
      </w:r>
    </w:p>
    <w:p w14:paraId="55AB666E">
      <w:pPr>
        <w:pStyle w:val="35"/>
        <w:numPr>
          <w:ilvl w:val="0"/>
          <w:numId w:val="2"/>
        </w:numPr>
        <w:overflowPunct w:val="0"/>
        <w:autoSpaceDE w:val="0"/>
        <w:autoSpaceDN w:val="0"/>
        <w:spacing w:before="60" w:after="0" w:line="240" w:lineRule="auto"/>
        <w:ind w:left="357" w:hanging="357"/>
        <w:jc w:val="both"/>
        <w:rPr>
          <w:rFonts w:ascii="Arial" w:hAnsi="Arial" w:cs="Arial"/>
          <w:sz w:val="24"/>
          <w:szCs w:val="24"/>
        </w:rPr>
      </w:pPr>
      <w:r>
        <w:rPr>
          <w:rFonts w:ascii="Arial" w:hAnsi="Arial" w:cs="Arial"/>
          <w:sz w:val="24"/>
          <w:szCs w:val="24"/>
        </w:rPr>
        <w:t>Région de Tahoua, zone des sous bassins de la Maggia et de la Basse Vallée de la Tarka, départements de Bouza, Madaoua, Malbaza, Konni et Illéla ;</w:t>
      </w:r>
    </w:p>
    <w:p w14:paraId="2B857569">
      <w:pPr>
        <w:pStyle w:val="35"/>
        <w:numPr>
          <w:ilvl w:val="0"/>
          <w:numId w:val="2"/>
        </w:numPr>
        <w:overflowPunct w:val="0"/>
        <w:autoSpaceDE w:val="0"/>
        <w:autoSpaceDN w:val="0"/>
        <w:spacing w:before="60" w:after="0" w:line="240" w:lineRule="auto"/>
        <w:ind w:left="357" w:hanging="357"/>
        <w:jc w:val="both"/>
        <w:rPr>
          <w:rFonts w:ascii="Arial" w:hAnsi="Arial" w:cs="Arial"/>
          <w:sz w:val="24"/>
          <w:szCs w:val="24"/>
        </w:rPr>
      </w:pPr>
      <w:r>
        <w:rPr>
          <w:rFonts w:ascii="Arial" w:hAnsi="Arial" w:cs="Arial"/>
          <w:sz w:val="24"/>
          <w:szCs w:val="24"/>
        </w:rPr>
        <w:t>Région de Tillabéry, zone des sous bassins de la Sirba et du Dargol, départements de Gothèye, Téra, Say, Kollo et Torodi ;</w:t>
      </w:r>
    </w:p>
    <w:p w14:paraId="5105A18B">
      <w:pPr>
        <w:pStyle w:val="35"/>
        <w:numPr>
          <w:ilvl w:val="0"/>
          <w:numId w:val="2"/>
        </w:numPr>
        <w:overflowPunct w:val="0"/>
        <w:autoSpaceDE w:val="0"/>
        <w:autoSpaceDN w:val="0"/>
        <w:spacing w:before="60" w:after="0" w:line="240" w:lineRule="auto"/>
        <w:ind w:left="357" w:hanging="357"/>
        <w:jc w:val="both"/>
        <w:rPr>
          <w:rFonts w:ascii="Arial" w:hAnsi="Arial" w:cs="Arial"/>
          <w:sz w:val="24"/>
          <w:szCs w:val="24"/>
        </w:rPr>
      </w:pPr>
      <w:r>
        <w:rPr>
          <w:rFonts w:ascii="Arial" w:hAnsi="Arial" w:cs="Arial"/>
          <w:sz w:val="24"/>
          <w:szCs w:val="24"/>
        </w:rPr>
        <w:t>Région de Zinder, zone du sous bassin des Koramas, départements de Kantché, Magaria, Doungas, Mirriah, Gouré et Damagaram Takaya.</w:t>
      </w:r>
    </w:p>
    <w:p w14:paraId="698A35A9">
      <w:pPr>
        <w:pStyle w:val="2"/>
        <w:numPr>
          <w:ilvl w:val="0"/>
          <w:numId w:val="1"/>
        </w:numPr>
        <w:spacing w:line="240" w:lineRule="auto"/>
        <w:contextualSpacing/>
        <w:rPr>
          <w:rFonts w:ascii="Arial" w:hAnsi="Arial" w:eastAsia="Times New Roman" w:cs="Arial"/>
          <w:b/>
          <w:bCs/>
          <w:sz w:val="24"/>
          <w:szCs w:val="24"/>
          <w:lang w:eastAsia="fr-FR"/>
        </w:rPr>
      </w:pPr>
      <w:r>
        <w:rPr>
          <w:rFonts w:ascii="Arial" w:hAnsi="Arial" w:eastAsia="Times New Roman" w:cs="Arial"/>
          <w:b/>
          <w:bCs/>
          <w:sz w:val="24"/>
          <w:szCs w:val="24"/>
          <w:lang w:eastAsia="fr-FR"/>
        </w:rPr>
        <w:t>Justification du recrutement d’un assistant en sauvegarde environnementale et sociale</w:t>
      </w:r>
    </w:p>
    <w:p w14:paraId="2F67FC63">
      <w:pPr>
        <w:shd w:val="clear" w:color="auto" w:fill="FFFFFF"/>
        <w:spacing w:after="300" w:line="240" w:lineRule="auto"/>
        <w:contextualSpacing/>
        <w:jc w:val="both"/>
        <w:textAlignment w:val="baseline"/>
        <w:rPr>
          <w:rFonts w:ascii="Arial" w:hAnsi="Arial" w:eastAsia="Calibri" w:cs="Arial"/>
          <w:bCs/>
          <w:sz w:val="24"/>
          <w:szCs w:val="24"/>
        </w:rPr>
      </w:pPr>
      <w:r>
        <w:rPr>
          <w:rFonts w:ascii="Arial" w:hAnsi="Arial" w:eastAsia="Calibri" w:cs="Arial"/>
          <w:bCs/>
          <w:sz w:val="24"/>
          <w:szCs w:val="24"/>
        </w:rPr>
        <w:t xml:space="preserve">La mise en œuvre de ce projet implique une multitude de parties prenantes. De ce point de vue, une unité de Gestion du projet (UGP) est mise en place et assure l’interface entre d’une part, l’Etat nigérien, emprunteur, les parties prenantes ainsi que les bénéficiaires et d’autre part, le bailleur de fond.  L’UGP comporte plusieurs équipes dont celle de la Sauvegarde environnementale et sociale composé d’un spécialiste en sauvegarde environnementale, d’un spécialiste sauvegarde sociale, genre et inclusion sociale, d'une Spécialiste en Violences sur le genre (VBG) et d’un expert en Sécurité-Sureté.  </w:t>
      </w:r>
    </w:p>
    <w:p w14:paraId="37669A65">
      <w:pPr>
        <w:shd w:val="clear" w:color="auto" w:fill="FFFFFF"/>
        <w:spacing w:after="300" w:line="240" w:lineRule="auto"/>
        <w:contextualSpacing/>
        <w:jc w:val="both"/>
        <w:textAlignment w:val="baseline"/>
        <w:rPr>
          <w:rFonts w:ascii="Arial" w:hAnsi="Arial" w:eastAsia="Calibri" w:cs="Arial"/>
          <w:bCs/>
          <w:sz w:val="24"/>
          <w:szCs w:val="24"/>
        </w:rPr>
      </w:pPr>
      <w:r>
        <w:rPr>
          <w:rFonts w:ascii="Arial" w:hAnsi="Arial" w:eastAsia="Calibri" w:cs="Arial"/>
          <w:bCs/>
          <w:sz w:val="24"/>
          <w:szCs w:val="24"/>
        </w:rPr>
        <w:t xml:space="preserve">Le projet est également représenté au niveau de chacune de sept (7) régions du pays par une Unité de Coordination Régionale (UCR) qui comporte à son sein, un spécialiste en développement rural, un assistant en suivi évaluation, un assistant en passation de marchés, un comptable régional et un(e) assistant (e) Administratif (ve). L’UCR travaille en étroite collaboration avec les institutions et services techniques déconcentrés et décentralisés au niveau régional, départemental et communaux concernés par la mise en œuvre du PISEN. </w:t>
      </w:r>
      <w:bookmarkStart w:id="2" w:name="_Hlk233898728"/>
      <w:r>
        <w:rPr>
          <w:rFonts w:ascii="Arial" w:hAnsi="Arial" w:eastAsia="Calibri" w:cs="Arial"/>
          <w:bCs/>
          <w:sz w:val="24"/>
          <w:szCs w:val="24"/>
        </w:rPr>
        <w:t xml:space="preserve">Malgré l’envergure du Projet qui couvre l’ensemble de huit (8) régions, le Projet manque d’un assistant au niveau régional qui devra contribuer au suivi des aspects environnementaux et sociaux du projet, notamment </w:t>
      </w:r>
      <w:bookmarkStart w:id="3" w:name="_Hlk233898273"/>
      <w:r>
        <w:rPr>
          <w:rFonts w:ascii="Arial" w:hAnsi="Arial" w:eastAsia="Calibri" w:cs="Arial"/>
          <w:bCs/>
          <w:sz w:val="24"/>
          <w:szCs w:val="24"/>
        </w:rPr>
        <w:t xml:space="preserve">les questions d’Hygiène, santé Sécurité, </w:t>
      </w:r>
      <w:bookmarkEnd w:id="3"/>
      <w:r>
        <w:rPr>
          <w:rFonts w:ascii="Arial" w:hAnsi="Arial" w:eastAsia="Calibri" w:cs="Arial"/>
          <w:bCs/>
          <w:sz w:val="24"/>
          <w:szCs w:val="24"/>
        </w:rPr>
        <w:t>l’engagement des parties prenantes, la gestion des plaintes, l’inclusion sociale, le genre ainsi que les mesures relatives aux risques EAS/HS.</w:t>
      </w:r>
    </w:p>
    <w:bookmarkEnd w:id="2"/>
    <w:p w14:paraId="3D5712B9">
      <w:pPr>
        <w:shd w:val="clear" w:color="auto" w:fill="FFFFFF"/>
        <w:spacing w:after="300" w:line="240" w:lineRule="auto"/>
        <w:contextualSpacing/>
        <w:jc w:val="both"/>
        <w:textAlignment w:val="baseline"/>
        <w:rPr>
          <w:rFonts w:ascii="Arial" w:hAnsi="Arial" w:eastAsia="Calibri" w:cs="Arial"/>
          <w:bCs/>
          <w:sz w:val="24"/>
          <w:szCs w:val="24"/>
        </w:rPr>
      </w:pPr>
      <w:r>
        <w:rPr>
          <w:rFonts w:ascii="Arial" w:hAnsi="Arial" w:eastAsia="Calibri" w:cs="Arial"/>
          <w:bCs/>
          <w:sz w:val="24"/>
          <w:szCs w:val="24"/>
        </w:rPr>
        <w:t>Conformément aux recommandations de la mission d’appui de la Banque Mondiale à la mise en œuvre du PISEN en date du 27 octobre au 7 novembre 2025 et afin d’assurer une prise en charge effective des questions de sauvegardes environnementales et sociales au niveau régional, il est prévu le recrutement d’un (e) assistant (e) régional (e) en sauvegarde environnementale et sociale au niveau de chacune de ces 7 régions du pays.</w:t>
      </w:r>
    </w:p>
    <w:p w14:paraId="128DDEEA">
      <w:pPr>
        <w:pStyle w:val="2"/>
        <w:numPr>
          <w:ilvl w:val="0"/>
          <w:numId w:val="1"/>
        </w:numPr>
        <w:spacing w:line="240" w:lineRule="auto"/>
        <w:contextualSpacing/>
        <w:rPr>
          <w:rFonts w:ascii="Arial" w:hAnsi="Arial" w:eastAsia="Times New Roman" w:cs="Arial"/>
          <w:b/>
          <w:bCs/>
          <w:sz w:val="24"/>
          <w:szCs w:val="24"/>
          <w:lang w:eastAsia="fr-FR"/>
        </w:rPr>
      </w:pPr>
      <w:r>
        <w:rPr>
          <w:rFonts w:ascii="Arial" w:hAnsi="Arial" w:eastAsia="Times New Roman" w:cs="Arial"/>
          <w:b/>
          <w:bCs/>
          <w:sz w:val="24"/>
          <w:szCs w:val="24"/>
          <w:lang w:eastAsia="fr-FR"/>
        </w:rPr>
        <w:t>Mandat de l’Assistant régional en sauvegarde environnementale et sociale</w:t>
      </w:r>
    </w:p>
    <w:p w14:paraId="67AD8109">
      <w:pPr>
        <w:shd w:val="clear" w:color="auto" w:fill="FFFFFF"/>
        <w:spacing w:after="0" w:line="240" w:lineRule="auto"/>
        <w:contextualSpacing/>
        <w:textAlignment w:val="baseline"/>
        <w:rPr>
          <w:rFonts w:ascii="Arial" w:hAnsi="Arial" w:eastAsia="Calibri" w:cs="Arial"/>
          <w:bCs/>
          <w:sz w:val="24"/>
          <w:szCs w:val="24"/>
        </w:rPr>
      </w:pPr>
      <w:r>
        <w:rPr>
          <w:rFonts w:ascii="Arial" w:hAnsi="Arial" w:eastAsia="Calibri" w:cs="Arial"/>
          <w:b/>
          <w:sz w:val="24"/>
          <w:szCs w:val="24"/>
        </w:rPr>
        <w:t>Titre du Poste</w:t>
      </w:r>
      <w:r>
        <w:rPr>
          <w:rFonts w:ascii="Arial" w:hAnsi="Arial" w:eastAsia="Calibri" w:cs="Arial"/>
          <w:bCs/>
          <w:sz w:val="24"/>
          <w:szCs w:val="24"/>
        </w:rPr>
        <w:t> : </w:t>
      </w:r>
      <w:bookmarkStart w:id="4" w:name="_Toc276728864"/>
      <w:bookmarkEnd w:id="4"/>
      <w:r>
        <w:rPr>
          <w:rFonts w:ascii="Arial" w:hAnsi="Arial" w:eastAsia="Calibri" w:cs="Arial"/>
          <w:bCs/>
          <w:sz w:val="24"/>
          <w:szCs w:val="24"/>
        </w:rPr>
        <w:t>Assistant régional en sauvegarde environnementale et sociale de l’Unité de Coordination Régionale du projet PISEN.</w:t>
      </w:r>
    </w:p>
    <w:p w14:paraId="063C21CC">
      <w:pPr>
        <w:shd w:val="clear" w:color="auto" w:fill="FFFFFF"/>
        <w:spacing w:after="0" w:line="240" w:lineRule="auto"/>
        <w:contextualSpacing/>
        <w:textAlignment w:val="baseline"/>
        <w:rPr>
          <w:rFonts w:ascii="Arial" w:hAnsi="Arial" w:eastAsia="Calibri" w:cs="Arial"/>
          <w:bCs/>
          <w:sz w:val="24"/>
          <w:szCs w:val="24"/>
        </w:rPr>
      </w:pPr>
      <w:r>
        <w:rPr>
          <w:rFonts w:ascii="Arial" w:hAnsi="Arial" w:eastAsia="Calibri" w:cs="Arial"/>
          <w:b/>
          <w:sz w:val="24"/>
          <w:szCs w:val="24"/>
        </w:rPr>
        <w:t>Supérieur hiérarchique</w:t>
      </w:r>
      <w:r>
        <w:rPr>
          <w:rFonts w:ascii="Arial" w:hAnsi="Arial" w:eastAsia="Calibri" w:cs="Arial"/>
          <w:bCs/>
          <w:sz w:val="24"/>
          <w:szCs w:val="24"/>
        </w:rPr>
        <w:t> : Coordonnateur Régional.</w:t>
      </w:r>
    </w:p>
    <w:p w14:paraId="4BE93553">
      <w:pPr>
        <w:shd w:val="clear" w:color="auto" w:fill="FFFFFF"/>
        <w:spacing w:after="0" w:line="240" w:lineRule="auto"/>
        <w:contextualSpacing/>
        <w:textAlignment w:val="baseline"/>
        <w:rPr>
          <w:rFonts w:ascii="Arial" w:hAnsi="Arial" w:eastAsia="Calibri" w:cs="Arial"/>
          <w:bCs/>
          <w:sz w:val="24"/>
          <w:szCs w:val="24"/>
        </w:rPr>
      </w:pPr>
      <w:r>
        <w:rPr>
          <w:rFonts w:ascii="Arial" w:hAnsi="Arial" w:eastAsia="Calibri" w:cs="Arial"/>
          <w:b/>
          <w:sz w:val="24"/>
          <w:szCs w:val="24"/>
        </w:rPr>
        <w:t>Supervision fonctionnelle</w:t>
      </w:r>
      <w:r>
        <w:rPr>
          <w:rFonts w:ascii="Arial" w:hAnsi="Arial" w:eastAsia="Calibri" w:cs="Arial"/>
          <w:bCs/>
          <w:sz w:val="24"/>
          <w:szCs w:val="24"/>
        </w:rPr>
        <w:t> : Spécialiste en Sauvegarde Environnementale de l’UGP du Projet PISEN</w:t>
      </w:r>
    </w:p>
    <w:p w14:paraId="4CAF7D0E">
      <w:pPr>
        <w:shd w:val="clear" w:color="auto" w:fill="FFFFFF"/>
        <w:spacing w:after="0" w:line="240" w:lineRule="auto"/>
        <w:contextualSpacing/>
        <w:textAlignment w:val="baseline"/>
        <w:rPr>
          <w:rFonts w:ascii="Arial" w:hAnsi="Arial" w:eastAsia="Calibri" w:cs="Arial"/>
          <w:b/>
          <w:sz w:val="24"/>
          <w:szCs w:val="24"/>
        </w:rPr>
      </w:pPr>
      <w:r>
        <w:rPr>
          <w:rFonts w:ascii="Arial" w:hAnsi="Arial" w:eastAsia="Calibri" w:cs="Arial"/>
          <w:b/>
          <w:sz w:val="24"/>
          <w:szCs w:val="24"/>
        </w:rPr>
        <w:t>Attributions et responsabilités :</w:t>
      </w:r>
    </w:p>
    <w:p w14:paraId="035D5C01">
      <w:pPr>
        <w:shd w:val="clear" w:color="auto" w:fill="FFFFFF"/>
        <w:spacing w:after="0" w:line="240" w:lineRule="auto"/>
        <w:contextualSpacing/>
        <w:jc w:val="both"/>
        <w:textAlignment w:val="baseline"/>
        <w:rPr>
          <w:rFonts w:ascii="Arial" w:hAnsi="Arial" w:eastAsia="Calibri" w:cs="Arial"/>
          <w:bCs/>
          <w:sz w:val="24"/>
          <w:szCs w:val="24"/>
        </w:rPr>
      </w:pPr>
      <w:bookmarkStart w:id="5" w:name="_Hlk233898753"/>
      <w:r>
        <w:rPr>
          <w:rFonts w:ascii="Arial" w:hAnsi="Arial" w:eastAsia="Calibri" w:cs="Arial"/>
          <w:bCs/>
          <w:sz w:val="24"/>
          <w:szCs w:val="24"/>
        </w:rPr>
        <w:t>Placé (e) sous la responsabilité du Coordonnateur Régional et de l’équipe sauvegarde environnementale et sociale l’UGP du Projet PISEN, le/l’Assistant(e) s’assure de la prise en compte des préoccupations environnementales et sociales dans les activités du projet dans le périmètre d’intervention de l’Unité de Coordination Régionale (UCR).</w:t>
      </w:r>
    </w:p>
    <w:bookmarkEnd w:id="5"/>
    <w:p w14:paraId="2F9F44A4">
      <w:pPr>
        <w:shd w:val="clear" w:color="auto" w:fill="FFFFFF"/>
        <w:spacing w:after="300" w:line="240" w:lineRule="auto"/>
        <w:contextualSpacing/>
        <w:textAlignment w:val="baseline"/>
        <w:rPr>
          <w:rFonts w:ascii="Arial" w:hAnsi="Arial" w:eastAsia="Calibri" w:cs="Arial"/>
          <w:bCs/>
          <w:sz w:val="24"/>
          <w:szCs w:val="24"/>
        </w:rPr>
      </w:pPr>
      <w:r>
        <w:rPr>
          <w:rFonts w:ascii="Arial" w:hAnsi="Arial" w:eastAsia="Calibri" w:cs="Arial"/>
          <w:bCs/>
          <w:sz w:val="24"/>
          <w:szCs w:val="24"/>
        </w:rPr>
        <w:t>A ce titre, l’Assistant(e) régional en sauvegarde environnementale et sociale de l’Unité de Coordination Régionale est chargé (e) de :</w:t>
      </w:r>
    </w:p>
    <w:p w14:paraId="1DF79C85">
      <w:pPr>
        <w:pStyle w:val="35"/>
        <w:numPr>
          <w:ilvl w:val="0"/>
          <w:numId w:val="3"/>
        </w:numPr>
        <w:shd w:val="clear" w:color="auto" w:fill="FFFFFF"/>
        <w:spacing w:after="0" w:line="240" w:lineRule="auto"/>
        <w:jc w:val="both"/>
        <w:textAlignment w:val="baseline"/>
        <w:rPr>
          <w:rFonts w:ascii="Arial" w:hAnsi="Arial" w:eastAsia="Calibri" w:cs="Arial"/>
          <w:bCs/>
          <w:sz w:val="24"/>
          <w:szCs w:val="24"/>
        </w:rPr>
      </w:pPr>
      <w:r>
        <w:rPr>
          <w:rFonts w:ascii="Arial" w:hAnsi="Arial" w:eastAsia="Calibri" w:cs="Arial"/>
          <w:bCs/>
          <w:sz w:val="24"/>
          <w:szCs w:val="24"/>
        </w:rPr>
        <w:t>Assister le Coordonnateur Régional dans la prise de décisions relatives à toutes les activités du projet ayant un lien avec les sauvegardes environnementales et sociale ;</w:t>
      </w:r>
    </w:p>
    <w:p w14:paraId="518813AC">
      <w:pPr>
        <w:pStyle w:val="35"/>
        <w:numPr>
          <w:ilvl w:val="0"/>
          <w:numId w:val="3"/>
        </w:numPr>
        <w:shd w:val="clear" w:color="auto" w:fill="FFFFFF"/>
        <w:spacing w:after="0" w:line="240" w:lineRule="auto"/>
        <w:jc w:val="both"/>
        <w:textAlignment w:val="baseline"/>
        <w:rPr>
          <w:rFonts w:ascii="Arial" w:hAnsi="Arial" w:eastAsia="Calibri" w:cs="Arial"/>
          <w:bCs/>
          <w:sz w:val="24"/>
          <w:szCs w:val="24"/>
        </w:rPr>
      </w:pPr>
      <w:r>
        <w:rPr>
          <w:rFonts w:ascii="Arial" w:hAnsi="Arial" w:eastAsia="Calibri" w:cs="Arial"/>
          <w:bCs/>
          <w:sz w:val="24"/>
          <w:szCs w:val="24"/>
        </w:rPr>
        <w:t>Donner des conseils avisés au Coordonnateur régional ;</w:t>
      </w:r>
    </w:p>
    <w:p w14:paraId="166912D1">
      <w:pPr>
        <w:pStyle w:val="35"/>
        <w:numPr>
          <w:ilvl w:val="0"/>
          <w:numId w:val="3"/>
        </w:numPr>
        <w:shd w:val="clear" w:color="auto" w:fill="FFFFFF"/>
        <w:spacing w:after="0" w:line="240" w:lineRule="auto"/>
        <w:jc w:val="both"/>
        <w:textAlignment w:val="baseline"/>
        <w:rPr>
          <w:rFonts w:ascii="Arial" w:hAnsi="Arial" w:eastAsia="Calibri" w:cs="Arial"/>
          <w:bCs/>
          <w:sz w:val="24"/>
          <w:szCs w:val="24"/>
        </w:rPr>
      </w:pPr>
      <w:r>
        <w:rPr>
          <w:rFonts w:ascii="Arial" w:hAnsi="Arial" w:eastAsia="Calibri" w:cs="Arial"/>
          <w:bCs/>
          <w:sz w:val="24"/>
          <w:szCs w:val="24"/>
        </w:rPr>
        <w:t>Veiller au respect et l’application des mesures et engagements contenus dans le CGES, le CPRP, le manuel du mécanisme de Gestion des plaintes et le PEES, ainsi que dans les autres documents de sauvegarde environnementale (PGB, PGIPP, REIES, PGES Projet, PGES Chantiers ainsi que le PGMO dans ses aspects sécurité et santé des travailleurs, le Plan de Gestion des Risques de Sécurité (PGRS...) ainsi que divers plans d’actions, pendant la mise en œuvre du projet ;</w:t>
      </w:r>
    </w:p>
    <w:p w14:paraId="1A3EA4C5">
      <w:pPr>
        <w:pStyle w:val="35"/>
        <w:numPr>
          <w:ilvl w:val="0"/>
          <w:numId w:val="3"/>
        </w:numPr>
        <w:shd w:val="clear" w:color="auto" w:fill="FFFFFF"/>
        <w:spacing w:after="0" w:line="240" w:lineRule="auto"/>
        <w:jc w:val="both"/>
        <w:textAlignment w:val="baseline"/>
        <w:rPr>
          <w:rFonts w:ascii="Arial" w:hAnsi="Arial" w:eastAsia="Calibri" w:cs="Arial"/>
          <w:bCs/>
          <w:sz w:val="24"/>
          <w:szCs w:val="24"/>
        </w:rPr>
      </w:pPr>
      <w:r>
        <w:rPr>
          <w:rFonts w:ascii="Arial" w:hAnsi="Arial" w:eastAsia="Calibri" w:cs="Arial"/>
          <w:bCs/>
          <w:sz w:val="24"/>
          <w:szCs w:val="24"/>
        </w:rPr>
        <w:t>Suivre la mise en œuvre des PGES-C, notamment le suivi des rapports ES des entreprises ;</w:t>
      </w:r>
    </w:p>
    <w:p w14:paraId="625BF18A">
      <w:pPr>
        <w:pStyle w:val="35"/>
        <w:numPr>
          <w:ilvl w:val="0"/>
          <w:numId w:val="3"/>
        </w:numPr>
        <w:shd w:val="clear" w:color="auto" w:fill="FFFFFF"/>
        <w:spacing w:after="0" w:line="240" w:lineRule="auto"/>
        <w:jc w:val="both"/>
        <w:textAlignment w:val="baseline"/>
        <w:rPr>
          <w:rFonts w:ascii="Arial" w:hAnsi="Arial" w:eastAsia="Calibri" w:cs="Arial"/>
          <w:bCs/>
          <w:sz w:val="24"/>
          <w:szCs w:val="24"/>
        </w:rPr>
      </w:pPr>
      <w:r>
        <w:rPr>
          <w:rFonts w:ascii="Arial" w:hAnsi="Arial" w:eastAsia="Calibri" w:cs="Arial"/>
          <w:bCs/>
          <w:sz w:val="24"/>
          <w:szCs w:val="24"/>
        </w:rPr>
        <w:t>Rapportage et suivi des incidents et accidents ;</w:t>
      </w:r>
    </w:p>
    <w:p w14:paraId="1674A778">
      <w:pPr>
        <w:pStyle w:val="35"/>
        <w:numPr>
          <w:ilvl w:val="0"/>
          <w:numId w:val="3"/>
        </w:numPr>
        <w:shd w:val="clear" w:color="auto" w:fill="FFFFFF"/>
        <w:spacing w:after="0" w:line="240" w:lineRule="auto"/>
        <w:jc w:val="both"/>
        <w:textAlignment w:val="baseline"/>
        <w:rPr>
          <w:rFonts w:ascii="Arial" w:hAnsi="Arial" w:eastAsia="Calibri" w:cs="Arial"/>
          <w:bCs/>
          <w:sz w:val="24"/>
          <w:szCs w:val="24"/>
        </w:rPr>
      </w:pPr>
      <w:r>
        <w:rPr>
          <w:rFonts w:ascii="Arial" w:hAnsi="Arial" w:eastAsia="Calibri" w:cs="Arial"/>
          <w:bCs/>
          <w:sz w:val="24"/>
          <w:szCs w:val="24"/>
        </w:rPr>
        <w:t>Apporter un appui aux acteurs concernés pour la mise en œuvre des mesures environnementales, sociales, Hygiène, Santé et Sécurité prévues dans le processus de planification et d’exécution des activités du projet ;</w:t>
      </w:r>
    </w:p>
    <w:p w14:paraId="3BC820D1">
      <w:pPr>
        <w:pStyle w:val="35"/>
        <w:numPr>
          <w:ilvl w:val="0"/>
          <w:numId w:val="3"/>
        </w:numPr>
        <w:shd w:val="clear" w:color="auto" w:fill="FFFFFF"/>
        <w:spacing w:after="0" w:line="240" w:lineRule="auto"/>
        <w:jc w:val="both"/>
        <w:textAlignment w:val="baseline"/>
        <w:rPr>
          <w:rFonts w:ascii="Arial" w:hAnsi="Arial" w:eastAsia="Calibri" w:cs="Arial"/>
          <w:bCs/>
          <w:sz w:val="24"/>
          <w:szCs w:val="24"/>
        </w:rPr>
      </w:pPr>
      <w:bookmarkStart w:id="6" w:name="_Hlk233898788"/>
      <w:r>
        <w:rPr>
          <w:rFonts w:ascii="Arial" w:hAnsi="Arial" w:eastAsia="Calibri" w:cs="Arial"/>
          <w:bCs/>
          <w:sz w:val="24"/>
          <w:szCs w:val="24"/>
        </w:rPr>
        <w:t>Contribuer au suivi des aspects sociaux du projet, notamment l’engagement des parties prenantes, la gestion des plaintes, l’inclusion sociale, le genre ainsi que les mesures relatives aux risques EAS/HS.</w:t>
      </w:r>
    </w:p>
    <w:bookmarkEnd w:id="6"/>
    <w:p w14:paraId="144957E6">
      <w:pPr>
        <w:shd w:val="clear" w:color="auto" w:fill="FFFFFF"/>
        <w:spacing w:after="0" w:line="240" w:lineRule="auto"/>
        <w:ind w:left="360"/>
        <w:contextualSpacing/>
        <w:jc w:val="both"/>
        <w:textAlignment w:val="baseline"/>
        <w:rPr>
          <w:rFonts w:ascii="Arial" w:hAnsi="Arial" w:eastAsia="Calibri" w:cs="Arial"/>
          <w:bCs/>
          <w:sz w:val="24"/>
          <w:szCs w:val="24"/>
        </w:rPr>
      </w:pPr>
      <w:r>
        <w:rPr>
          <w:rFonts w:ascii="Arial" w:hAnsi="Arial" w:eastAsia="Calibri" w:cs="Arial"/>
          <w:bCs/>
          <w:sz w:val="24"/>
          <w:szCs w:val="24"/>
        </w:rPr>
        <w:t>Dans ce cadre, l’Assistant Regional en Sauvegarde Environnementale et Sociale devra :</w:t>
      </w:r>
    </w:p>
    <w:p w14:paraId="5CBDD9F6">
      <w:pPr>
        <w:pStyle w:val="35"/>
        <w:numPr>
          <w:ilvl w:val="0"/>
          <w:numId w:val="3"/>
        </w:numPr>
        <w:shd w:val="clear" w:color="auto" w:fill="FFFFFF"/>
        <w:spacing w:after="0" w:line="240" w:lineRule="auto"/>
        <w:jc w:val="both"/>
        <w:textAlignment w:val="baseline"/>
        <w:rPr>
          <w:rFonts w:ascii="Arial" w:hAnsi="Arial" w:eastAsia="Calibri" w:cs="Arial"/>
          <w:bCs/>
          <w:sz w:val="24"/>
          <w:szCs w:val="24"/>
        </w:rPr>
      </w:pPr>
      <w:r>
        <w:rPr>
          <w:rFonts w:ascii="Arial" w:hAnsi="Arial" w:eastAsia="Calibri" w:cs="Arial"/>
          <w:bCs/>
          <w:sz w:val="24"/>
          <w:szCs w:val="24"/>
        </w:rPr>
        <w:t>Assurer la diffusion adéquate des documents de sauvegarde environnementale et sociale (PEES, CGES, CPRP, PGB, PGIPP, le PGMO dans ses aspects Hygiène, Santé et Sécurité, EIES, PGES, PGRS, et PGES-C.) aux acteurs impliqués dans la mise en œuvre du projet ;</w:t>
      </w:r>
    </w:p>
    <w:p w14:paraId="7A5F902D">
      <w:pPr>
        <w:pStyle w:val="35"/>
        <w:numPr>
          <w:ilvl w:val="0"/>
          <w:numId w:val="3"/>
        </w:numPr>
        <w:shd w:val="clear" w:color="auto" w:fill="FFFFFF"/>
        <w:spacing w:after="0" w:line="240" w:lineRule="auto"/>
        <w:jc w:val="both"/>
        <w:textAlignment w:val="baseline"/>
        <w:rPr>
          <w:rFonts w:ascii="Arial" w:hAnsi="Arial" w:eastAsia="Calibri" w:cs="Arial"/>
          <w:bCs/>
          <w:sz w:val="24"/>
          <w:szCs w:val="24"/>
        </w:rPr>
      </w:pPr>
      <w:r>
        <w:rPr>
          <w:rFonts w:ascii="Arial" w:hAnsi="Arial" w:eastAsia="Calibri" w:cs="Arial"/>
          <w:bCs/>
          <w:sz w:val="24"/>
          <w:szCs w:val="24"/>
        </w:rPr>
        <w:t>Superviser la conduite du screening environnemental et social des activités inscrites dans le plan de travail annuel et veiller à la préparation des instruments de nature environnementale et sociale qui en résulteront et participer à leur validation avant le démarrage des sous projets ;</w:t>
      </w:r>
    </w:p>
    <w:p w14:paraId="3F2AF812">
      <w:pPr>
        <w:pStyle w:val="35"/>
        <w:numPr>
          <w:ilvl w:val="0"/>
          <w:numId w:val="3"/>
        </w:numPr>
        <w:shd w:val="clear" w:color="auto" w:fill="FFFFFF"/>
        <w:spacing w:after="0" w:line="240" w:lineRule="auto"/>
        <w:jc w:val="both"/>
        <w:textAlignment w:val="baseline"/>
        <w:rPr>
          <w:rFonts w:ascii="Arial" w:hAnsi="Arial" w:eastAsia="Calibri" w:cs="Arial"/>
          <w:bCs/>
          <w:sz w:val="24"/>
          <w:szCs w:val="24"/>
        </w:rPr>
      </w:pPr>
      <w:r>
        <w:rPr>
          <w:rFonts w:ascii="Arial" w:hAnsi="Arial" w:eastAsia="Calibri" w:cs="Arial"/>
          <w:bCs/>
          <w:sz w:val="24"/>
          <w:szCs w:val="24"/>
        </w:rPr>
        <w:t>Superviser et assurer le contrôle qualité, la surveillance environnementale et le suivi des mesures proposées par les Etudes d’Impacts environnementales et sociales (EIES) et les Notices d’Impacts Environnementales et Sociales (NIES) des sous-projets (à la fois au cours de phases de préparation, de construction et d’exploitation des ouvrages)</w:t>
      </w:r>
    </w:p>
    <w:p w14:paraId="6E7BAFC4">
      <w:pPr>
        <w:pStyle w:val="35"/>
        <w:numPr>
          <w:ilvl w:val="0"/>
          <w:numId w:val="3"/>
        </w:numPr>
        <w:shd w:val="clear" w:color="auto" w:fill="FFFFFF"/>
        <w:spacing w:after="0" w:line="240" w:lineRule="auto"/>
        <w:jc w:val="both"/>
        <w:textAlignment w:val="baseline"/>
        <w:rPr>
          <w:rFonts w:ascii="Arial" w:hAnsi="Arial" w:eastAsia="Calibri" w:cs="Arial"/>
          <w:bCs/>
          <w:sz w:val="24"/>
          <w:szCs w:val="24"/>
        </w:rPr>
      </w:pPr>
      <w:r>
        <w:rPr>
          <w:rFonts w:ascii="Arial" w:hAnsi="Arial" w:eastAsia="Calibri" w:cs="Arial"/>
          <w:bCs/>
          <w:sz w:val="24"/>
          <w:szCs w:val="24"/>
        </w:rPr>
        <w:t>Rédiger les fiches simplifiées PGES des sous projets et veiller à l’inclusion des mesures dans les plans d’exécution des travaux ;</w:t>
      </w:r>
    </w:p>
    <w:p w14:paraId="60721990">
      <w:pPr>
        <w:pStyle w:val="35"/>
        <w:numPr>
          <w:ilvl w:val="0"/>
          <w:numId w:val="3"/>
        </w:numPr>
        <w:shd w:val="clear" w:color="auto" w:fill="FFFFFF"/>
        <w:spacing w:after="0" w:line="240" w:lineRule="auto"/>
        <w:jc w:val="both"/>
        <w:textAlignment w:val="baseline"/>
        <w:rPr>
          <w:rFonts w:ascii="Arial" w:hAnsi="Arial" w:eastAsia="Calibri" w:cs="Arial"/>
          <w:bCs/>
          <w:sz w:val="24"/>
          <w:szCs w:val="24"/>
        </w:rPr>
      </w:pPr>
      <w:r>
        <w:rPr>
          <w:rFonts w:ascii="Arial" w:hAnsi="Arial" w:eastAsia="Calibri" w:cs="Arial"/>
          <w:bCs/>
          <w:sz w:val="24"/>
          <w:szCs w:val="24"/>
        </w:rPr>
        <w:t>Coordonner toute la fonction environnementale au niveau régional y compris les questions liées à l’hygiène, la Santé et la Sécurité entre les différents centres d’exécution/partenaires de mise en œuvre (Ministères, Régions et Agences d’Exécution) du projet ;</w:t>
      </w:r>
    </w:p>
    <w:p w14:paraId="1DB78113">
      <w:pPr>
        <w:pStyle w:val="35"/>
        <w:numPr>
          <w:ilvl w:val="0"/>
          <w:numId w:val="3"/>
        </w:numPr>
        <w:shd w:val="clear" w:color="auto" w:fill="FFFFFF"/>
        <w:spacing w:after="0" w:line="240" w:lineRule="auto"/>
        <w:jc w:val="both"/>
        <w:textAlignment w:val="baseline"/>
        <w:rPr>
          <w:rFonts w:ascii="Arial" w:hAnsi="Arial" w:eastAsia="Calibri" w:cs="Arial"/>
          <w:bCs/>
          <w:sz w:val="24"/>
          <w:szCs w:val="24"/>
        </w:rPr>
      </w:pPr>
      <w:r>
        <w:rPr>
          <w:rFonts w:ascii="Arial" w:hAnsi="Arial" w:eastAsia="Calibri" w:cs="Arial"/>
          <w:bCs/>
          <w:sz w:val="24"/>
          <w:szCs w:val="24"/>
        </w:rPr>
        <w:t xml:space="preserve">Appuyer l’équipe sauvegarde du Projet à superviser les audits environnementaux et sociaux des sous-projets ; </w:t>
      </w:r>
    </w:p>
    <w:p w14:paraId="50C8B8FD">
      <w:pPr>
        <w:pStyle w:val="35"/>
        <w:numPr>
          <w:ilvl w:val="0"/>
          <w:numId w:val="3"/>
        </w:numPr>
        <w:shd w:val="clear" w:color="auto" w:fill="FFFFFF"/>
        <w:spacing w:after="0" w:line="240" w:lineRule="auto"/>
        <w:jc w:val="both"/>
        <w:textAlignment w:val="baseline"/>
        <w:rPr>
          <w:rFonts w:ascii="Arial" w:hAnsi="Arial" w:eastAsia="Calibri" w:cs="Arial"/>
          <w:bCs/>
          <w:sz w:val="24"/>
          <w:szCs w:val="24"/>
        </w:rPr>
      </w:pPr>
      <w:bookmarkStart w:id="7" w:name="_Hlk233898866"/>
      <w:r>
        <w:rPr>
          <w:rFonts w:ascii="Arial" w:hAnsi="Arial" w:eastAsia="Calibri" w:cs="Arial"/>
          <w:bCs/>
          <w:sz w:val="24"/>
          <w:szCs w:val="24"/>
        </w:rPr>
        <w:t>Coordonner au niveau régional, tous les aspects relatifs aux sauvegardes sociales (engagement des parties prenantes, gestion des plaintes, suivi des personnes affectées, inclusion sociale, cohésion sociale, prévention et gestion des conflits, EAS/HS, suivi du PMPP, etc.) ;</w:t>
      </w:r>
    </w:p>
    <w:bookmarkEnd w:id="7"/>
    <w:p w14:paraId="7C4D216D">
      <w:pPr>
        <w:pStyle w:val="35"/>
        <w:numPr>
          <w:ilvl w:val="0"/>
          <w:numId w:val="3"/>
        </w:numPr>
        <w:shd w:val="clear" w:color="auto" w:fill="FFFFFF"/>
        <w:spacing w:after="0" w:line="240" w:lineRule="auto"/>
        <w:jc w:val="both"/>
        <w:textAlignment w:val="baseline"/>
        <w:rPr>
          <w:rFonts w:ascii="Arial" w:hAnsi="Arial" w:eastAsia="Calibri" w:cs="Arial"/>
          <w:bCs/>
          <w:sz w:val="24"/>
          <w:szCs w:val="24"/>
        </w:rPr>
      </w:pPr>
      <w:r>
        <w:rPr>
          <w:rFonts w:ascii="Arial" w:hAnsi="Arial" w:eastAsia="Calibri" w:cs="Arial"/>
          <w:bCs/>
          <w:sz w:val="24"/>
          <w:szCs w:val="24"/>
        </w:rPr>
        <w:t>Rédiger ou veiller à la rédaction des rapports d’activités périodiques (mensuels ou trimestriels) et du bilan environnemental enfin de projet prenant en compte les aspects remise en état des sites ;</w:t>
      </w:r>
    </w:p>
    <w:p w14:paraId="565EC212">
      <w:pPr>
        <w:pStyle w:val="35"/>
        <w:numPr>
          <w:ilvl w:val="0"/>
          <w:numId w:val="3"/>
        </w:numPr>
        <w:shd w:val="clear" w:color="auto" w:fill="FFFFFF"/>
        <w:spacing w:after="0" w:line="240" w:lineRule="auto"/>
        <w:jc w:val="both"/>
        <w:textAlignment w:val="baseline"/>
        <w:rPr>
          <w:rFonts w:ascii="Arial" w:hAnsi="Arial" w:eastAsia="Calibri" w:cs="Arial"/>
          <w:bCs/>
          <w:sz w:val="24"/>
          <w:szCs w:val="24"/>
        </w:rPr>
      </w:pPr>
      <w:r>
        <w:rPr>
          <w:rFonts w:ascii="Arial" w:hAnsi="Arial" w:eastAsia="Calibri" w:cs="Arial"/>
          <w:bCs/>
          <w:sz w:val="24"/>
          <w:szCs w:val="24"/>
        </w:rPr>
        <w:t>Contribuer à la préparation de la revue à mi-parcours et à l’évaluation finale du projet.</w:t>
      </w:r>
    </w:p>
    <w:p w14:paraId="61D6E1B6">
      <w:pPr>
        <w:pStyle w:val="35"/>
        <w:numPr>
          <w:ilvl w:val="0"/>
          <w:numId w:val="3"/>
        </w:numPr>
        <w:shd w:val="clear" w:color="auto" w:fill="FFFFFF"/>
        <w:spacing w:before="240" w:after="0" w:line="240" w:lineRule="auto"/>
        <w:jc w:val="both"/>
        <w:textAlignment w:val="baseline"/>
        <w:rPr>
          <w:rFonts w:ascii="Arial" w:hAnsi="Arial" w:eastAsia="Calibri" w:cs="Arial"/>
          <w:bCs/>
          <w:sz w:val="24"/>
          <w:szCs w:val="24"/>
        </w:rPr>
      </w:pPr>
      <w:r>
        <w:rPr>
          <w:rFonts w:ascii="Arial" w:hAnsi="Arial" w:eastAsia="Calibri" w:cs="Arial"/>
          <w:bCs/>
          <w:sz w:val="24"/>
          <w:szCs w:val="24"/>
        </w:rPr>
        <w:t xml:space="preserve"> Exécuter toutes tâches à lui confiées par le Coordonnateur Régional et/ou équipe sauvegarde et/ou l’Unité de Gestion du Projet et qui sont en relation avec les tâches définies dans ses TDR.</w:t>
      </w:r>
    </w:p>
    <w:p w14:paraId="0B9DE98C">
      <w:pPr>
        <w:pStyle w:val="2"/>
        <w:numPr>
          <w:ilvl w:val="0"/>
          <w:numId w:val="1"/>
        </w:numPr>
        <w:spacing w:before="240" w:line="240" w:lineRule="auto"/>
        <w:contextualSpacing/>
        <w:jc w:val="both"/>
        <w:rPr>
          <w:rFonts w:ascii="Arial" w:hAnsi="Arial" w:eastAsia="Times New Roman" w:cs="Arial"/>
          <w:b/>
          <w:bCs/>
          <w:sz w:val="24"/>
          <w:szCs w:val="24"/>
          <w:lang w:eastAsia="fr-FR"/>
        </w:rPr>
      </w:pPr>
      <w:r>
        <w:rPr>
          <w:rFonts w:ascii="Arial" w:hAnsi="Arial" w:eastAsia="Times New Roman" w:cs="Arial"/>
          <w:b/>
          <w:bCs/>
          <w:sz w:val="24"/>
          <w:szCs w:val="24"/>
          <w:lang w:eastAsia="fr-FR"/>
        </w:rPr>
        <w:t>Qualifications</w:t>
      </w:r>
    </w:p>
    <w:p w14:paraId="44155EF3">
      <w:pPr>
        <w:shd w:val="clear" w:color="auto" w:fill="FFFFFF"/>
        <w:spacing w:after="300" w:line="240" w:lineRule="auto"/>
        <w:contextualSpacing/>
        <w:jc w:val="both"/>
        <w:textAlignment w:val="baseline"/>
        <w:rPr>
          <w:rFonts w:ascii="Arial" w:hAnsi="Arial" w:eastAsia="Times New Roman" w:cs="Arial"/>
          <w:color w:val="000000"/>
          <w:kern w:val="0"/>
          <w:sz w:val="24"/>
          <w:szCs w:val="24"/>
          <w:lang w:eastAsia="fr-FR"/>
          <w14:ligatures w14:val="none"/>
        </w:rPr>
      </w:pPr>
      <w:r>
        <w:rPr>
          <w:rFonts w:ascii="Arial" w:hAnsi="Arial" w:eastAsia="Times New Roman" w:cs="Arial"/>
          <w:color w:val="000000"/>
          <w:kern w:val="0"/>
          <w:sz w:val="24"/>
          <w:szCs w:val="24"/>
          <w:lang w:eastAsia="fr-FR"/>
          <w14:ligatures w14:val="none"/>
        </w:rPr>
        <w:t>Pour mener à bien cette mission, l’Assistant(e) régional en sauvegarde environnementale et sociale devra avoir les qualifications minimales suivantes :</w:t>
      </w:r>
    </w:p>
    <w:p w14:paraId="02E867DF">
      <w:pPr>
        <w:numPr>
          <w:ilvl w:val="0"/>
          <w:numId w:val="4"/>
        </w:numPr>
        <w:shd w:val="clear" w:color="auto" w:fill="FFFFFF" w:themeFill="background1"/>
        <w:spacing w:after="0" w:line="240" w:lineRule="auto"/>
        <w:ind w:left="1020"/>
        <w:contextualSpacing/>
        <w:jc w:val="both"/>
        <w:textAlignment w:val="baseline"/>
        <w:rPr>
          <w:rFonts w:ascii="Arial" w:hAnsi="Arial" w:eastAsia="Times New Roman" w:cs="Arial"/>
          <w:kern w:val="0"/>
          <w:sz w:val="24"/>
          <w:szCs w:val="24"/>
          <w:lang w:eastAsia="fr-FR"/>
          <w14:ligatures w14:val="none"/>
        </w:rPr>
      </w:pPr>
      <w:bookmarkStart w:id="8" w:name="_Hlk233898889"/>
      <w:bookmarkStart w:id="9" w:name="_Hlk233899171"/>
      <w:r>
        <w:rPr>
          <w:rFonts w:ascii="Arial" w:hAnsi="Arial" w:eastAsia="Times New Roman" w:cs="Arial"/>
          <w:kern w:val="0"/>
          <w:sz w:val="24"/>
          <w:szCs w:val="24"/>
          <w:lang w:eastAsia="fr-FR"/>
          <w14:ligatures w14:val="none"/>
        </w:rPr>
        <w:t xml:space="preserve">Un diplôme de Licence BAC +3 minimums en Sciences de l’Environnement, Sciences sociales ou discipline assimilée (gestion de l’Environnement, Sociologie, Psychologie, Ressources en Eau, hydrogéologie, Ressources minérales, écologie, géographie, agronomie, mines, HSE, Santé et Sécurité au travail, QSE etc.) </w:t>
      </w:r>
      <w:bookmarkEnd w:id="8"/>
    </w:p>
    <w:bookmarkEnd w:id="9"/>
    <w:p w14:paraId="5C83266F">
      <w:pPr>
        <w:numPr>
          <w:ilvl w:val="0"/>
          <w:numId w:val="4"/>
        </w:numPr>
        <w:shd w:val="clear" w:color="auto" w:fill="FFFFFF"/>
        <w:spacing w:after="0" w:line="240" w:lineRule="auto"/>
        <w:ind w:left="1020"/>
        <w:contextualSpacing/>
        <w:jc w:val="both"/>
        <w:textAlignment w:val="baseline"/>
        <w:rPr>
          <w:rFonts w:ascii="Arial" w:hAnsi="Arial" w:eastAsia="Times New Roman" w:cs="Arial"/>
          <w:kern w:val="0"/>
          <w:sz w:val="24"/>
          <w:szCs w:val="24"/>
          <w:lang w:eastAsia="fr-FR"/>
          <w14:ligatures w14:val="none"/>
        </w:rPr>
      </w:pPr>
      <w:r>
        <w:rPr>
          <w:rFonts w:ascii="Arial" w:hAnsi="Arial" w:eastAsia="Times New Roman" w:cs="Arial"/>
          <w:kern w:val="0"/>
          <w:sz w:val="24"/>
          <w:szCs w:val="24"/>
          <w:lang w:eastAsia="fr-FR"/>
          <w14:ligatures w14:val="none"/>
        </w:rPr>
        <w:t>Disposer d’une (1) année d’expérience au minimum dans le domaine de l’Environnement et/ou l’hygiène et Sécurité au travail.</w:t>
      </w:r>
    </w:p>
    <w:p w14:paraId="25FEF939">
      <w:pPr>
        <w:numPr>
          <w:ilvl w:val="0"/>
          <w:numId w:val="4"/>
        </w:numPr>
        <w:shd w:val="clear" w:color="auto" w:fill="FFFFFF"/>
        <w:spacing w:after="0" w:line="240" w:lineRule="auto"/>
        <w:ind w:left="1020"/>
        <w:contextualSpacing/>
        <w:jc w:val="both"/>
        <w:textAlignment w:val="baseline"/>
        <w:rPr>
          <w:rFonts w:ascii="Arial" w:hAnsi="Arial" w:eastAsia="Times New Roman" w:cs="Arial"/>
          <w:kern w:val="0"/>
          <w:sz w:val="24"/>
          <w:szCs w:val="24"/>
          <w:lang w:eastAsia="fr-FR"/>
          <w14:ligatures w14:val="none"/>
        </w:rPr>
      </w:pPr>
      <w:r>
        <w:rPr>
          <w:rFonts w:ascii="Arial" w:hAnsi="Arial" w:eastAsia="Times New Roman" w:cs="Arial"/>
          <w:kern w:val="0"/>
          <w:sz w:val="24"/>
          <w:szCs w:val="24"/>
          <w:lang w:eastAsia="fr-FR"/>
          <w14:ligatures w14:val="none"/>
        </w:rPr>
        <w:t>Avoir de Bonnes connaissances des normes environnementales et sociales de la Banque mondiale ainsi que de ses directives sécuritaires, sanitaires et environnementale serait un atout ;</w:t>
      </w:r>
    </w:p>
    <w:p w14:paraId="7CB1765F">
      <w:pPr>
        <w:numPr>
          <w:ilvl w:val="0"/>
          <w:numId w:val="4"/>
        </w:numPr>
        <w:shd w:val="clear" w:color="auto" w:fill="FFFFFF"/>
        <w:spacing w:after="0" w:line="240" w:lineRule="auto"/>
        <w:ind w:left="1020"/>
        <w:contextualSpacing/>
        <w:jc w:val="both"/>
        <w:textAlignment w:val="baseline"/>
        <w:rPr>
          <w:rFonts w:ascii="Arial" w:hAnsi="Arial" w:eastAsia="Times New Roman" w:cs="Arial"/>
          <w:kern w:val="0"/>
          <w:sz w:val="24"/>
          <w:szCs w:val="24"/>
          <w:lang w:eastAsia="fr-FR"/>
          <w14:ligatures w14:val="none"/>
        </w:rPr>
      </w:pPr>
      <w:r>
        <w:rPr>
          <w:rFonts w:ascii="Arial" w:hAnsi="Arial" w:eastAsia="Times New Roman" w:cs="Arial"/>
          <w:kern w:val="0"/>
          <w:sz w:val="24"/>
          <w:szCs w:val="24"/>
          <w:lang w:eastAsia="fr-FR"/>
          <w14:ligatures w14:val="none"/>
        </w:rPr>
        <w:t>Une connaissance de la procédure administrative en matière de gestion environnementale et sociale, normes et réglementations environnementales au Niger ;</w:t>
      </w:r>
    </w:p>
    <w:p w14:paraId="34C8E571">
      <w:pPr>
        <w:numPr>
          <w:ilvl w:val="0"/>
          <w:numId w:val="4"/>
        </w:numPr>
        <w:shd w:val="clear" w:color="auto" w:fill="FFFFFF"/>
        <w:spacing w:after="0" w:line="240" w:lineRule="auto"/>
        <w:ind w:left="1020"/>
        <w:contextualSpacing/>
        <w:jc w:val="both"/>
        <w:textAlignment w:val="baseline"/>
        <w:rPr>
          <w:rFonts w:ascii="Arial" w:hAnsi="Arial" w:eastAsia="Times New Roman" w:cs="Arial"/>
          <w:kern w:val="0"/>
          <w:sz w:val="24"/>
          <w:szCs w:val="24"/>
          <w:lang w:eastAsia="fr-FR"/>
          <w14:ligatures w14:val="none"/>
        </w:rPr>
      </w:pPr>
      <w:r>
        <w:rPr>
          <w:rFonts w:ascii="Arial" w:hAnsi="Arial" w:eastAsia="Times New Roman" w:cs="Arial"/>
          <w:kern w:val="0"/>
          <w:sz w:val="24"/>
          <w:szCs w:val="24"/>
          <w:lang w:eastAsia="fr-FR"/>
          <w14:ligatures w14:val="none"/>
        </w:rPr>
        <w:t xml:space="preserve">Avoir au moins deux (2) expériences d’un niveau minimum d’Assistant ou Superviseur dans des missions d’évaluation environnementale et sociale  (EIES et/ou Audits) et/ou de gestion environnementale et sociale (Assistant Sauvegarde environnementale et sociale de projet ou ONG, ou Superviseur HSE ou QSE d’Entreprise ou de mission de contrôle) au Niger dans le domaine de l’eau, de l’assainissement ou autres secteurs du développement financés par la Banque mondiale ou d’autres Banques Multilatérales de Développement (BMD) ; </w:t>
      </w:r>
    </w:p>
    <w:p w14:paraId="5C696ECA">
      <w:pPr>
        <w:numPr>
          <w:ilvl w:val="0"/>
          <w:numId w:val="4"/>
        </w:numPr>
        <w:shd w:val="clear" w:color="auto" w:fill="FFFFFF"/>
        <w:spacing w:after="0" w:line="240" w:lineRule="auto"/>
        <w:ind w:left="1020"/>
        <w:contextualSpacing/>
        <w:jc w:val="both"/>
        <w:textAlignment w:val="baseline"/>
        <w:rPr>
          <w:rFonts w:ascii="Arial" w:hAnsi="Arial" w:eastAsia="Times New Roman" w:cs="Arial"/>
          <w:kern w:val="0"/>
          <w:sz w:val="24"/>
          <w:szCs w:val="24"/>
          <w:lang w:eastAsia="fr-FR"/>
          <w14:ligatures w14:val="none"/>
        </w:rPr>
      </w:pPr>
      <w:r>
        <w:rPr>
          <w:rFonts w:ascii="Arial" w:hAnsi="Arial" w:eastAsia="Times New Roman" w:cs="Arial"/>
          <w:kern w:val="0"/>
          <w:sz w:val="24"/>
          <w:szCs w:val="24"/>
          <w:lang w:eastAsia="fr-FR"/>
          <w14:ligatures w14:val="none"/>
        </w:rPr>
        <w:t>Avoir les capacités de travailler sous pression et en équipe ;</w:t>
      </w:r>
    </w:p>
    <w:p w14:paraId="3F9BB7AB">
      <w:pPr>
        <w:numPr>
          <w:ilvl w:val="0"/>
          <w:numId w:val="4"/>
        </w:numPr>
        <w:shd w:val="clear" w:color="auto" w:fill="FFFFFF"/>
        <w:spacing w:after="0" w:line="240" w:lineRule="auto"/>
        <w:ind w:left="1020"/>
        <w:contextualSpacing/>
        <w:jc w:val="both"/>
        <w:textAlignment w:val="baseline"/>
        <w:rPr>
          <w:rFonts w:ascii="Arial" w:hAnsi="Arial" w:eastAsia="Times New Roman" w:cs="Arial"/>
          <w:kern w:val="0"/>
          <w:sz w:val="24"/>
          <w:szCs w:val="24"/>
          <w:lang w:eastAsia="fr-FR"/>
          <w14:ligatures w14:val="none"/>
        </w:rPr>
      </w:pPr>
      <w:r>
        <w:rPr>
          <w:rFonts w:ascii="Arial" w:hAnsi="Arial" w:eastAsia="Times New Roman" w:cs="Arial"/>
          <w:kern w:val="0"/>
          <w:sz w:val="24"/>
          <w:szCs w:val="24"/>
          <w:lang w:eastAsia="fr-FR"/>
          <w14:ligatures w14:val="none"/>
        </w:rPr>
        <w:t>Avoir une aptitude à effectuer régulièrement des missions de terrain.</w:t>
      </w:r>
    </w:p>
    <w:p w14:paraId="59EC1FA2">
      <w:pPr>
        <w:numPr>
          <w:ilvl w:val="0"/>
          <w:numId w:val="4"/>
        </w:numPr>
        <w:shd w:val="clear" w:color="auto" w:fill="FFFFFF"/>
        <w:spacing w:after="0" w:line="240" w:lineRule="auto"/>
        <w:ind w:left="1020"/>
        <w:contextualSpacing/>
        <w:jc w:val="both"/>
        <w:textAlignment w:val="baseline"/>
        <w:rPr>
          <w:rFonts w:ascii="Arial" w:hAnsi="Arial" w:eastAsia="Times New Roman" w:cs="Arial"/>
          <w:kern w:val="0"/>
          <w:sz w:val="24"/>
          <w:szCs w:val="24"/>
          <w:lang w:eastAsia="fr-FR"/>
          <w14:ligatures w14:val="none"/>
        </w:rPr>
      </w:pPr>
      <w:r>
        <w:rPr>
          <w:rFonts w:ascii="Arial" w:hAnsi="Arial" w:eastAsia="Times New Roman" w:cs="Arial"/>
          <w:kern w:val="0"/>
          <w:sz w:val="24"/>
          <w:szCs w:val="24"/>
          <w:lang w:eastAsia="fr-FR"/>
          <w14:ligatures w14:val="none"/>
        </w:rPr>
        <w:t>Avoir une bonne connaissance de la langue française et une aptitude pour la communication et le travail. La connaissance de l’anglais est un atout.</w:t>
      </w:r>
    </w:p>
    <w:p w14:paraId="603CECEA">
      <w:pPr>
        <w:numPr>
          <w:ilvl w:val="0"/>
          <w:numId w:val="4"/>
        </w:numPr>
        <w:shd w:val="clear" w:color="auto" w:fill="FFFFFF"/>
        <w:spacing w:after="0" w:line="240" w:lineRule="auto"/>
        <w:ind w:left="1020"/>
        <w:contextualSpacing/>
        <w:jc w:val="both"/>
        <w:textAlignment w:val="baseline"/>
        <w:rPr>
          <w:rFonts w:ascii="Arial" w:hAnsi="Arial" w:eastAsia="Times New Roman" w:cs="Arial"/>
          <w:kern w:val="0"/>
          <w:sz w:val="24"/>
          <w:szCs w:val="24"/>
          <w:lang w:eastAsia="fr-FR"/>
          <w14:ligatures w14:val="none"/>
        </w:rPr>
      </w:pPr>
      <w:r>
        <w:rPr>
          <w:rFonts w:ascii="Arial" w:hAnsi="Arial" w:eastAsia="Times New Roman" w:cs="Arial"/>
          <w:kern w:val="0"/>
          <w:sz w:val="24"/>
          <w:szCs w:val="24"/>
          <w:lang w:eastAsia="fr-FR"/>
          <w14:ligatures w14:val="none"/>
        </w:rPr>
        <w:t>Avoir une capacité à communiquer facilement avec les acteurs du projet tant au niveau des institutions nationales, régionales et locales que des communautés bénéficiaires ;</w:t>
      </w:r>
    </w:p>
    <w:p w14:paraId="220AACFD">
      <w:pPr>
        <w:numPr>
          <w:ilvl w:val="0"/>
          <w:numId w:val="4"/>
        </w:numPr>
        <w:shd w:val="clear" w:color="auto" w:fill="FFFFFF"/>
        <w:spacing w:after="0" w:line="240" w:lineRule="auto"/>
        <w:ind w:left="1020"/>
        <w:contextualSpacing/>
        <w:jc w:val="both"/>
        <w:textAlignment w:val="baseline"/>
        <w:rPr>
          <w:rFonts w:ascii="Arial" w:hAnsi="Arial" w:eastAsia="Times New Roman" w:cs="Arial"/>
          <w:kern w:val="0"/>
          <w:sz w:val="24"/>
          <w:szCs w:val="24"/>
          <w:lang w:eastAsia="fr-FR"/>
          <w14:ligatures w14:val="none"/>
        </w:rPr>
      </w:pPr>
      <w:r>
        <w:rPr>
          <w:rFonts w:ascii="Arial" w:hAnsi="Arial" w:eastAsia="Times New Roman" w:cs="Arial"/>
          <w:kern w:val="0"/>
          <w:sz w:val="24"/>
          <w:szCs w:val="24"/>
          <w:lang w:eastAsia="fr-FR"/>
          <w14:ligatures w14:val="none"/>
        </w:rPr>
        <w:t>Avoir une maîtrise de l’outil informatique notamment les logiciels Word, Excel et Power Point</w:t>
      </w:r>
    </w:p>
    <w:p w14:paraId="2C23FA71">
      <w:pPr>
        <w:shd w:val="clear" w:color="auto" w:fill="FFFFFF"/>
        <w:spacing w:after="0" w:line="240" w:lineRule="auto"/>
        <w:contextualSpacing/>
        <w:jc w:val="both"/>
        <w:textAlignment w:val="baseline"/>
        <w:rPr>
          <w:rFonts w:ascii="Arial" w:hAnsi="Arial" w:eastAsia="Times New Roman" w:cs="Arial"/>
          <w:color w:val="000000"/>
          <w:kern w:val="0"/>
          <w:sz w:val="24"/>
          <w:szCs w:val="24"/>
          <w:lang w:eastAsia="fr-FR"/>
          <w14:ligatures w14:val="none"/>
        </w:rPr>
      </w:pPr>
    </w:p>
    <w:p w14:paraId="0D99D4A1">
      <w:pPr>
        <w:shd w:val="clear" w:color="auto" w:fill="FFFFFF"/>
        <w:spacing w:after="0" w:line="240" w:lineRule="auto"/>
        <w:contextualSpacing/>
        <w:jc w:val="both"/>
        <w:textAlignment w:val="baseline"/>
        <w:rPr>
          <w:rFonts w:ascii="Arial" w:hAnsi="Arial" w:eastAsia="Times New Roman" w:cs="Arial"/>
          <w:color w:val="000080"/>
          <w:kern w:val="0"/>
          <w:sz w:val="24"/>
          <w:szCs w:val="24"/>
          <w:lang w:eastAsia="fr-FR"/>
          <w14:ligatures w14:val="none"/>
        </w:rPr>
      </w:pPr>
      <w:r>
        <w:rPr>
          <w:rFonts w:ascii="Arial" w:hAnsi="Arial" w:eastAsia="Times New Roman" w:cs="Arial"/>
          <w:b/>
          <w:bCs/>
          <w:color w:val="000080"/>
          <w:kern w:val="0"/>
          <w:sz w:val="24"/>
          <w:szCs w:val="24"/>
          <w:lang w:eastAsia="fr-FR"/>
          <w14:ligatures w14:val="none"/>
        </w:rPr>
        <w:t>Les candidatures féminines et des jeunes qualifiées sont fortement encouragées</w:t>
      </w:r>
      <w:r>
        <w:rPr>
          <w:rFonts w:ascii="Arial" w:hAnsi="Arial" w:eastAsia="Times New Roman" w:cs="Arial"/>
          <w:color w:val="000080"/>
          <w:kern w:val="0"/>
          <w:sz w:val="24"/>
          <w:szCs w:val="24"/>
          <w:lang w:eastAsia="fr-FR"/>
          <w14:ligatures w14:val="none"/>
        </w:rPr>
        <w:t>.</w:t>
      </w:r>
    </w:p>
    <w:p w14:paraId="0A493C5A">
      <w:pPr>
        <w:pStyle w:val="2"/>
        <w:numPr>
          <w:ilvl w:val="0"/>
          <w:numId w:val="1"/>
        </w:numPr>
        <w:spacing w:line="240" w:lineRule="auto"/>
        <w:contextualSpacing/>
        <w:jc w:val="both"/>
        <w:rPr>
          <w:rFonts w:ascii="Arial" w:hAnsi="Arial" w:eastAsia="Times New Roman" w:cs="Arial"/>
          <w:sz w:val="24"/>
          <w:szCs w:val="24"/>
          <w:lang w:eastAsia="fr-FR"/>
        </w:rPr>
      </w:pPr>
      <w:r>
        <w:rPr>
          <w:rFonts w:ascii="Arial" w:hAnsi="Arial" w:eastAsia="Times New Roman" w:cs="Arial"/>
          <w:b/>
          <w:bCs/>
          <w:sz w:val="24"/>
          <w:szCs w:val="24"/>
          <w:lang w:eastAsia="fr-FR"/>
        </w:rPr>
        <w:t>Conditions d’emploi du / de l’Assistant (e) régional en sauvegarde environnementale et social</w:t>
      </w:r>
      <w:r>
        <w:rPr>
          <w:rFonts w:ascii="Arial" w:hAnsi="Arial" w:eastAsia="Times New Roman" w:cs="Arial"/>
          <w:sz w:val="24"/>
          <w:szCs w:val="24"/>
          <w:lang w:eastAsia="fr-FR"/>
        </w:rPr>
        <w:t>e</w:t>
      </w:r>
    </w:p>
    <w:p w14:paraId="369D101A">
      <w:pPr>
        <w:shd w:val="clear" w:color="auto" w:fill="FFFFFF"/>
        <w:spacing w:after="300" w:line="240" w:lineRule="auto"/>
        <w:contextualSpacing/>
        <w:jc w:val="both"/>
        <w:textAlignment w:val="baseline"/>
        <w:rPr>
          <w:rFonts w:ascii="Arial" w:hAnsi="Arial" w:eastAsia="Times New Roman" w:cs="Arial"/>
          <w:color w:val="000000"/>
          <w:kern w:val="0"/>
          <w:sz w:val="24"/>
          <w:szCs w:val="24"/>
          <w:lang w:eastAsia="fr-FR"/>
          <w14:ligatures w14:val="none"/>
        </w:rPr>
      </w:pPr>
      <w:r>
        <w:rPr>
          <w:rFonts w:ascii="Arial" w:hAnsi="Arial" w:eastAsia="Times New Roman" w:cs="Arial"/>
          <w:color w:val="000000"/>
          <w:kern w:val="0"/>
          <w:sz w:val="24"/>
          <w:szCs w:val="24"/>
          <w:lang w:eastAsia="fr-FR"/>
          <w14:ligatures w14:val="none"/>
        </w:rPr>
        <w:t>Le projet mettra à la disposition du/de l’assistant (e)</w:t>
      </w:r>
      <w:r>
        <w:rPr>
          <w:rFonts w:ascii="Arial" w:hAnsi="Arial" w:cs="Arial"/>
          <w:sz w:val="24"/>
          <w:szCs w:val="24"/>
        </w:rPr>
        <w:t xml:space="preserve"> </w:t>
      </w:r>
      <w:r>
        <w:rPr>
          <w:rFonts w:ascii="Arial" w:hAnsi="Arial" w:eastAsia="Times New Roman" w:cs="Arial"/>
          <w:color w:val="000000"/>
          <w:kern w:val="0"/>
          <w:sz w:val="24"/>
          <w:szCs w:val="24"/>
          <w:lang w:eastAsia="fr-FR"/>
          <w14:ligatures w14:val="none"/>
        </w:rPr>
        <w:t>régional en sauvegarde environnementale et sociale, l’ensemble des documents, dossiers et outils appropriés et nécessaires à l’exécution de sa mission. Il mettra également à sa disposition les locaux et équipements nécessaires pour assurer une bonne prestation de service. Les conditions d’emploi feront l’objet d’un contrat à négocier avec l’administration en charge du projet.</w:t>
      </w:r>
    </w:p>
    <w:p w14:paraId="427F9341">
      <w:pPr>
        <w:shd w:val="clear" w:color="auto" w:fill="FFFFFF"/>
        <w:spacing w:after="0" w:line="240" w:lineRule="auto"/>
        <w:contextualSpacing/>
        <w:jc w:val="both"/>
        <w:textAlignment w:val="baseline"/>
        <w:rPr>
          <w:rFonts w:ascii="Arial" w:hAnsi="Arial" w:eastAsia="Times New Roman" w:cs="Arial"/>
          <w:color w:val="000000"/>
          <w:kern w:val="0"/>
          <w:sz w:val="24"/>
          <w:szCs w:val="24"/>
          <w:lang w:eastAsia="fr-FR"/>
          <w14:ligatures w14:val="none"/>
        </w:rPr>
      </w:pPr>
      <w:r>
        <w:rPr>
          <w:rFonts w:ascii="Arial" w:hAnsi="Arial" w:eastAsia="Times New Roman" w:cs="Arial"/>
          <w:color w:val="000000"/>
          <w:kern w:val="0"/>
          <w:sz w:val="24"/>
          <w:szCs w:val="24"/>
          <w:lang w:eastAsia="fr-FR"/>
          <w14:ligatures w14:val="none"/>
        </w:rPr>
        <w:t>Le/l’Assistant(e) régional en sauvegarde environnementale et sociale aura le statut de consultant en conformité avec le « Règlement de Passation des Marchés pour les Emprunteurs sollicitant le Financement de Projets d’Investissement (FPI) » de la Banque mondiale, adopté en juillet 2016 et révisé en novembre 2017 et en Août 2018, qui stipule en son article 3.23.d. </w:t>
      </w:r>
      <w:r>
        <w:rPr>
          <w:rFonts w:ascii="Arial" w:hAnsi="Arial" w:eastAsia="Times New Roman" w:cs="Arial"/>
          <w:color w:val="000000"/>
          <w:kern w:val="0"/>
          <w:sz w:val="24"/>
          <w:szCs w:val="24"/>
          <w:lang w:eastAsia="fr-FR"/>
          <w14:ligatures w14:val="none"/>
        </w:rPr>
        <w:t>« Au cas par cas, la Banque peut accepter d’engager des responsables d’administrations publiques et des fonctionnaires du pays de l’Emprunteur dans le cadre de contrats de Consultants dans ledit pays, soit individuellement soit comme membre de l’équipe d’experts proposée par un cabinet de consultants, uniquement lorsque : (i) leurs services sont d’un caractère unique et exceptionnel, ou leur participation est indispensable à l’exécution du projet ; (ii) leur engagement ne créera pas de conflit d’intérêts ; et (iii) leur engagement n’enfreint aucune loi, réglementation ou politique de l’Emprunteur ».</w:t>
      </w:r>
    </w:p>
    <w:p w14:paraId="33410E57">
      <w:pPr>
        <w:pStyle w:val="2"/>
        <w:numPr>
          <w:ilvl w:val="0"/>
          <w:numId w:val="1"/>
        </w:numPr>
        <w:spacing w:line="240" w:lineRule="auto"/>
        <w:contextualSpacing/>
        <w:jc w:val="both"/>
        <w:rPr>
          <w:rFonts w:ascii="Arial" w:hAnsi="Arial" w:eastAsia="Times New Roman" w:cs="Arial"/>
          <w:b/>
          <w:bCs/>
          <w:sz w:val="24"/>
          <w:szCs w:val="24"/>
          <w:lang w:eastAsia="fr-FR"/>
        </w:rPr>
      </w:pPr>
      <w:r>
        <w:rPr>
          <w:rFonts w:ascii="Arial" w:hAnsi="Arial" w:eastAsia="Times New Roman" w:cs="Arial"/>
          <w:b/>
          <w:bCs/>
          <w:sz w:val="24"/>
          <w:szCs w:val="24"/>
          <w:lang w:eastAsia="fr-FR"/>
        </w:rPr>
        <w:t>Procédures et méthodes de sélection</w:t>
      </w:r>
    </w:p>
    <w:p w14:paraId="61CFDE65">
      <w:pPr>
        <w:shd w:val="clear" w:color="auto" w:fill="FFFFFF"/>
        <w:spacing w:after="0" w:line="240" w:lineRule="auto"/>
        <w:contextualSpacing/>
        <w:jc w:val="both"/>
        <w:textAlignment w:val="baseline"/>
        <w:rPr>
          <w:rFonts w:ascii="Arial" w:hAnsi="Arial" w:eastAsia="Times New Roman" w:cs="Arial"/>
          <w:color w:val="000000"/>
          <w:kern w:val="0"/>
          <w:sz w:val="24"/>
          <w:szCs w:val="24"/>
          <w:lang w:eastAsia="fr-FR"/>
          <w14:ligatures w14:val="none"/>
        </w:rPr>
      </w:pPr>
      <w:r>
        <w:rPr>
          <w:rFonts w:ascii="Arial" w:hAnsi="Arial" w:eastAsia="Times New Roman" w:cs="Arial"/>
          <w:color w:val="000000"/>
          <w:kern w:val="0"/>
          <w:sz w:val="24"/>
          <w:szCs w:val="24"/>
          <w:lang w:eastAsia="fr-FR"/>
          <w14:ligatures w14:val="none"/>
        </w:rPr>
        <w:t>Le recrutement se fera suivant la méthode de sélection de consultants individuels (CI) conformément aux dispositions de passation des marchés contenues dans le « Règlement de Passation des Marchés pour les Emprunteurs sollicitant le Financement de Projets d’Investissement (FPI) » de la Banque mondiale adopté en juillet 2016 et révisé en novembre 2017 et en Août 2018. Le candidat présentant le meilleur profil et après entretien sera invité aux négociations pour la conclusion du contrat.</w:t>
      </w:r>
    </w:p>
    <w:p w14:paraId="7E93AAC5">
      <w:pPr>
        <w:pStyle w:val="2"/>
        <w:numPr>
          <w:ilvl w:val="0"/>
          <w:numId w:val="1"/>
        </w:numPr>
        <w:spacing w:line="240" w:lineRule="auto"/>
        <w:contextualSpacing/>
        <w:jc w:val="both"/>
        <w:rPr>
          <w:rFonts w:ascii="Arial" w:hAnsi="Arial" w:eastAsia="Times New Roman" w:cs="Arial"/>
          <w:b/>
          <w:bCs/>
          <w:sz w:val="24"/>
          <w:szCs w:val="24"/>
          <w:lang w:eastAsia="fr-FR"/>
        </w:rPr>
      </w:pPr>
      <w:r>
        <w:rPr>
          <w:rFonts w:ascii="Arial" w:hAnsi="Arial" w:eastAsia="Times New Roman" w:cs="Arial"/>
          <w:b/>
          <w:bCs/>
          <w:sz w:val="24"/>
          <w:szCs w:val="24"/>
          <w:lang w:eastAsia="fr-FR"/>
        </w:rPr>
        <w:t>Durée et localisation du contrat</w:t>
      </w:r>
    </w:p>
    <w:p w14:paraId="047711A2">
      <w:pPr>
        <w:shd w:val="clear" w:color="auto" w:fill="FFFFFF"/>
        <w:spacing w:after="300" w:line="240" w:lineRule="auto"/>
        <w:contextualSpacing/>
        <w:textAlignment w:val="baseline"/>
        <w:rPr>
          <w:rFonts w:ascii="Arial" w:hAnsi="Arial" w:eastAsia="Times New Roman" w:cs="Arial"/>
          <w:color w:val="000000"/>
          <w:kern w:val="0"/>
          <w:sz w:val="24"/>
          <w:szCs w:val="24"/>
          <w:lang w:eastAsia="fr-FR"/>
          <w14:ligatures w14:val="none"/>
        </w:rPr>
      </w:pPr>
      <w:r>
        <w:rPr>
          <w:rFonts w:ascii="Arial" w:hAnsi="Arial" w:eastAsia="Times New Roman" w:cs="Arial"/>
          <w:color w:val="000000"/>
          <w:kern w:val="0"/>
          <w:sz w:val="24"/>
          <w:szCs w:val="24"/>
          <w:lang w:eastAsia="fr-FR"/>
          <w14:ligatures w14:val="none"/>
        </w:rPr>
        <w:t>La durée du contrat sera d’un (1) an renouvelable avec une période d’essai de six (6) mois sur la durée du projet après évaluation satisfaisante des performances. Le poste est basé dans un des chefs-lieux de sept (7) régions susmentionnées avec des possibilités de mission à l’intérieur de la région ou ailleurs.</w:t>
      </w:r>
    </w:p>
    <w:p w14:paraId="08A504B3">
      <w:pPr>
        <w:shd w:val="clear" w:color="auto" w:fill="FFFFFF"/>
        <w:spacing w:after="300" w:line="240" w:lineRule="auto"/>
        <w:contextualSpacing/>
        <w:textAlignment w:val="baseline"/>
        <w:rPr>
          <w:rFonts w:ascii="Arial" w:hAnsi="Arial" w:eastAsia="Times New Roman" w:cs="Arial"/>
          <w:b/>
          <w:bCs/>
          <w:color w:val="000000"/>
          <w:kern w:val="0"/>
          <w:sz w:val="24"/>
          <w:szCs w:val="24"/>
          <w:lang w:eastAsia="fr-FR"/>
          <w14:ligatures w14:val="none"/>
        </w:rPr>
      </w:pPr>
    </w:p>
    <w:p w14:paraId="2884631C">
      <w:pPr>
        <w:shd w:val="clear" w:color="auto" w:fill="FFFFFF"/>
        <w:spacing w:after="300" w:line="240" w:lineRule="auto"/>
        <w:contextualSpacing/>
        <w:jc w:val="both"/>
        <w:textAlignment w:val="baseline"/>
        <w:rPr>
          <w:rFonts w:ascii="Arial" w:hAnsi="Arial" w:eastAsia="Times New Roman" w:cs="Arial"/>
          <w:b/>
          <w:bCs/>
          <w:color w:val="000000"/>
          <w:kern w:val="0"/>
          <w:sz w:val="28"/>
          <w:szCs w:val="28"/>
          <w:lang w:eastAsia="fr-FR"/>
          <w14:ligatures w14:val="none"/>
        </w:rPr>
      </w:pPr>
      <w:r>
        <w:rPr>
          <w:rFonts w:ascii="Arial" w:hAnsi="Arial" w:eastAsia="Times New Roman" w:cs="Arial"/>
          <w:b/>
          <w:bCs/>
          <w:color w:val="000000"/>
          <w:kern w:val="0"/>
          <w:sz w:val="28"/>
          <w:szCs w:val="28"/>
          <w:lang w:eastAsia="fr-FR"/>
          <w14:ligatures w14:val="none"/>
        </w:rPr>
        <w:t>Chaque candidat doit préciser la ou les régions pour lesquelles il postule.</w:t>
      </w:r>
    </w:p>
    <w:p w14:paraId="14BB426A">
      <w:pPr>
        <w:shd w:val="clear" w:color="auto" w:fill="FFFFFF"/>
        <w:spacing w:after="300" w:line="240" w:lineRule="auto"/>
        <w:contextualSpacing/>
        <w:jc w:val="both"/>
        <w:textAlignment w:val="baseline"/>
        <w:rPr>
          <w:rFonts w:ascii="Arial" w:hAnsi="Arial" w:eastAsia="Times New Roman" w:cs="Arial"/>
          <w:b/>
          <w:bCs/>
          <w:color w:val="000000"/>
          <w:kern w:val="0"/>
          <w:sz w:val="28"/>
          <w:szCs w:val="28"/>
          <w:lang w:eastAsia="fr-FR"/>
          <w14:ligatures w14:val="none"/>
        </w:rPr>
      </w:pPr>
    </w:p>
    <w:p w14:paraId="21FCB4A2">
      <w:pPr>
        <w:shd w:val="clear" w:color="auto" w:fill="FFFFFF"/>
        <w:spacing w:after="300" w:line="240" w:lineRule="auto"/>
        <w:contextualSpacing/>
        <w:jc w:val="both"/>
        <w:textAlignment w:val="baseline"/>
        <w:rPr>
          <w:rFonts w:ascii="Arial" w:hAnsi="Arial" w:eastAsia="Times New Roman" w:cs="Arial"/>
          <w:b/>
          <w:bCs/>
          <w:color w:val="000000"/>
          <w:kern w:val="0"/>
          <w:sz w:val="28"/>
          <w:szCs w:val="28"/>
          <w:lang w:eastAsia="fr-FR"/>
          <w14:ligatures w14:val="none"/>
        </w:rPr>
      </w:pPr>
      <w:r>
        <w:rPr>
          <w:rFonts w:ascii="Arial" w:hAnsi="Arial" w:eastAsia="Times New Roman" w:cs="Arial"/>
          <w:b/>
          <w:bCs/>
          <w:color w:val="000000"/>
          <w:kern w:val="0"/>
          <w:sz w:val="28"/>
          <w:szCs w:val="28"/>
          <w:lang w:eastAsia="fr-FR"/>
          <w14:ligatures w14:val="none"/>
        </w:rPr>
        <w:t>Les candidats peuvent postuler pour l’ensemble des régions, l’Unité de Gestion du Projet procédera au classement des candidats par ordre de mérite et procédera à l’affectation des candidats retenus.</w:t>
      </w:r>
    </w:p>
    <w:p w14:paraId="66EC1E90">
      <w:pPr>
        <w:pStyle w:val="2"/>
        <w:numPr>
          <w:ilvl w:val="0"/>
          <w:numId w:val="1"/>
        </w:numPr>
        <w:spacing w:line="240" w:lineRule="auto"/>
        <w:contextualSpacing/>
        <w:rPr>
          <w:rFonts w:ascii="Arial" w:hAnsi="Arial" w:eastAsia="Times New Roman" w:cs="Arial"/>
          <w:b/>
          <w:bCs/>
          <w:sz w:val="24"/>
          <w:szCs w:val="24"/>
          <w:lang w:eastAsia="fr-FR"/>
        </w:rPr>
      </w:pPr>
      <w:r>
        <w:rPr>
          <w:rFonts w:ascii="Arial" w:hAnsi="Arial" w:eastAsia="Times New Roman" w:cs="Arial"/>
          <w:b/>
          <w:bCs/>
          <w:sz w:val="24"/>
          <w:szCs w:val="24"/>
          <w:lang w:eastAsia="fr-FR"/>
        </w:rPr>
        <w:t xml:space="preserve">Dossier de candidature </w:t>
      </w:r>
    </w:p>
    <w:p w14:paraId="0B5D5951">
      <w:pPr>
        <w:shd w:val="clear" w:color="auto" w:fill="FFFFFF"/>
        <w:spacing w:after="300" w:line="240" w:lineRule="auto"/>
        <w:contextualSpacing/>
        <w:textAlignment w:val="baseline"/>
        <w:rPr>
          <w:rFonts w:ascii="Arial" w:hAnsi="Arial" w:eastAsia="Times New Roman" w:cs="Arial"/>
          <w:color w:val="000000"/>
          <w:kern w:val="0"/>
          <w:sz w:val="24"/>
          <w:szCs w:val="24"/>
          <w:lang w:eastAsia="fr-FR"/>
          <w14:ligatures w14:val="none"/>
        </w:rPr>
      </w:pPr>
      <w:r>
        <w:rPr>
          <w:rFonts w:ascii="Arial" w:hAnsi="Arial" w:eastAsia="Times New Roman" w:cs="Arial"/>
          <w:color w:val="000000"/>
          <w:kern w:val="0"/>
          <w:sz w:val="24"/>
          <w:szCs w:val="24"/>
          <w:lang w:eastAsia="fr-FR"/>
          <w14:ligatures w14:val="none"/>
        </w:rPr>
        <w:t>Le dossier de candidature devrait comporter les pièces suivantes :</w:t>
      </w:r>
    </w:p>
    <w:p w14:paraId="173828E8">
      <w:pPr>
        <w:numPr>
          <w:ilvl w:val="0"/>
          <w:numId w:val="5"/>
        </w:numPr>
        <w:shd w:val="clear" w:color="auto" w:fill="FFFFFF"/>
        <w:spacing w:after="0" w:line="240" w:lineRule="auto"/>
        <w:ind w:left="1020"/>
        <w:contextualSpacing/>
        <w:textAlignment w:val="baseline"/>
        <w:rPr>
          <w:rFonts w:ascii="Arial" w:hAnsi="Arial" w:eastAsia="Times New Roman" w:cs="Arial"/>
          <w:color w:val="000000"/>
          <w:kern w:val="0"/>
          <w:sz w:val="24"/>
          <w:szCs w:val="24"/>
          <w:lang w:eastAsia="fr-FR"/>
          <w14:ligatures w14:val="none"/>
        </w:rPr>
      </w:pPr>
      <w:r>
        <w:rPr>
          <w:rFonts w:ascii="Arial" w:hAnsi="Arial" w:eastAsia="Times New Roman" w:cs="Arial"/>
          <w:color w:val="000000"/>
          <w:kern w:val="0"/>
          <w:sz w:val="24"/>
          <w:szCs w:val="24"/>
          <w:lang w:eastAsia="fr-FR"/>
          <w14:ligatures w14:val="none"/>
        </w:rPr>
        <w:t>une lettre de motivation adressée à Monsieur le Coordonnateur du Projet PISEN ;</w:t>
      </w:r>
    </w:p>
    <w:p w14:paraId="608613C3">
      <w:pPr>
        <w:numPr>
          <w:ilvl w:val="0"/>
          <w:numId w:val="5"/>
        </w:numPr>
        <w:shd w:val="clear" w:color="auto" w:fill="FFFFFF"/>
        <w:spacing w:after="0" w:line="240" w:lineRule="auto"/>
        <w:ind w:left="1020"/>
        <w:contextualSpacing/>
        <w:textAlignment w:val="baseline"/>
        <w:rPr>
          <w:rFonts w:ascii="Arial" w:hAnsi="Arial" w:eastAsia="Times New Roman" w:cs="Arial"/>
          <w:color w:val="000000"/>
          <w:kern w:val="0"/>
          <w:sz w:val="24"/>
          <w:szCs w:val="24"/>
          <w:lang w:eastAsia="fr-FR"/>
          <w14:ligatures w14:val="none"/>
        </w:rPr>
      </w:pPr>
      <w:r>
        <w:rPr>
          <w:rFonts w:ascii="Arial" w:hAnsi="Arial" w:eastAsia="Times New Roman" w:cs="Arial"/>
          <w:color w:val="000000"/>
          <w:kern w:val="0"/>
          <w:sz w:val="24"/>
          <w:szCs w:val="24"/>
          <w:lang w:eastAsia="fr-FR"/>
          <w14:ligatures w14:val="none"/>
        </w:rPr>
        <w:t>un CV détaillé et actualisé, décrivant l’expérience spécifique du candidat ;</w:t>
      </w:r>
    </w:p>
    <w:p w14:paraId="12B1049F">
      <w:pPr>
        <w:numPr>
          <w:ilvl w:val="0"/>
          <w:numId w:val="5"/>
        </w:numPr>
        <w:shd w:val="clear" w:color="auto" w:fill="FFFFFF"/>
        <w:spacing w:after="0" w:line="240" w:lineRule="auto"/>
        <w:ind w:left="1020"/>
        <w:contextualSpacing/>
        <w:textAlignment w:val="baseline"/>
        <w:rPr>
          <w:rFonts w:ascii="Arial" w:hAnsi="Arial" w:eastAsia="Times New Roman" w:cs="Arial"/>
          <w:color w:val="000000"/>
          <w:kern w:val="0"/>
          <w:sz w:val="24"/>
          <w:szCs w:val="24"/>
          <w:lang w:eastAsia="fr-FR"/>
          <w14:ligatures w14:val="none"/>
        </w:rPr>
      </w:pPr>
      <w:r>
        <w:rPr>
          <w:rFonts w:ascii="Arial" w:hAnsi="Arial" w:eastAsia="Times New Roman" w:cs="Arial"/>
          <w:color w:val="000000"/>
          <w:kern w:val="0"/>
          <w:sz w:val="24"/>
          <w:szCs w:val="24"/>
          <w:lang w:eastAsia="fr-FR"/>
          <w14:ligatures w14:val="none"/>
        </w:rPr>
        <w:t>une copie certifiée des diplômes de formation supérieure ;</w:t>
      </w:r>
    </w:p>
    <w:p w14:paraId="2C0B0701">
      <w:pPr>
        <w:numPr>
          <w:ilvl w:val="0"/>
          <w:numId w:val="5"/>
        </w:numPr>
        <w:shd w:val="clear" w:color="auto" w:fill="FFFFFF"/>
        <w:spacing w:after="0" w:line="240" w:lineRule="auto"/>
        <w:ind w:left="1020"/>
        <w:contextualSpacing/>
        <w:textAlignment w:val="baseline"/>
        <w:rPr>
          <w:rFonts w:ascii="Arial" w:hAnsi="Arial" w:eastAsia="Times New Roman" w:cs="Arial"/>
          <w:color w:val="000000"/>
          <w:kern w:val="0"/>
          <w:sz w:val="24"/>
          <w:szCs w:val="24"/>
          <w:lang w:eastAsia="fr-FR"/>
          <w14:ligatures w14:val="none"/>
        </w:rPr>
      </w:pPr>
      <w:r>
        <w:rPr>
          <w:rFonts w:ascii="Arial" w:hAnsi="Arial" w:eastAsia="Times New Roman" w:cs="Arial"/>
          <w:color w:val="000000"/>
          <w:kern w:val="0"/>
          <w:sz w:val="24"/>
          <w:szCs w:val="24"/>
          <w:lang w:eastAsia="fr-FR"/>
          <w14:ligatures w14:val="none"/>
        </w:rPr>
        <w:t>une copie certifiée des attestations de stages, séminaires et formations de courte durée ;</w:t>
      </w:r>
    </w:p>
    <w:p w14:paraId="3E187087">
      <w:pPr>
        <w:numPr>
          <w:ilvl w:val="0"/>
          <w:numId w:val="5"/>
        </w:numPr>
        <w:shd w:val="clear" w:color="auto" w:fill="FFFFFF"/>
        <w:spacing w:after="0" w:line="240" w:lineRule="auto"/>
        <w:ind w:left="1020"/>
        <w:contextualSpacing/>
        <w:textAlignment w:val="baseline"/>
        <w:rPr>
          <w:rFonts w:ascii="Arial" w:hAnsi="Arial" w:eastAsia="Times New Roman" w:cs="Arial"/>
          <w:color w:val="000000"/>
          <w:kern w:val="0"/>
          <w:sz w:val="24"/>
          <w:szCs w:val="24"/>
          <w:lang w:eastAsia="fr-FR"/>
          <w14:ligatures w14:val="none"/>
        </w:rPr>
      </w:pPr>
      <w:r>
        <w:rPr>
          <w:rFonts w:ascii="Arial" w:hAnsi="Arial" w:eastAsia="Times New Roman" w:cs="Arial"/>
          <w:color w:val="000000"/>
          <w:kern w:val="0"/>
          <w:sz w:val="24"/>
          <w:szCs w:val="24"/>
          <w:lang w:eastAsia="fr-FR"/>
          <w14:ligatures w14:val="none"/>
        </w:rPr>
        <w:t>les attestations de service ou preuves attestant de l’expérience professionnelle du candidat.</w:t>
      </w:r>
    </w:p>
    <w:p w14:paraId="035281C8">
      <w:pPr>
        <w:shd w:val="clear" w:color="auto" w:fill="FFFFFF"/>
        <w:spacing w:after="300" w:line="240" w:lineRule="auto"/>
        <w:contextualSpacing/>
        <w:textAlignment w:val="baseline"/>
        <w:rPr>
          <w:rFonts w:ascii="Arial" w:hAnsi="Arial" w:eastAsia="Times New Roman" w:cs="Arial"/>
          <w:color w:val="000000"/>
          <w:kern w:val="0"/>
          <w:sz w:val="24"/>
          <w:szCs w:val="24"/>
          <w:lang w:eastAsia="fr-FR"/>
          <w14:ligatures w14:val="none"/>
        </w:rPr>
      </w:pPr>
    </w:p>
    <w:p w14:paraId="4AA1C99A">
      <w:pPr>
        <w:shd w:val="clear" w:color="auto" w:fill="FFFFFF"/>
        <w:spacing w:after="300" w:line="240" w:lineRule="auto"/>
        <w:contextualSpacing/>
        <w:textAlignment w:val="baseline"/>
        <w:rPr>
          <w:rFonts w:ascii="Arial" w:hAnsi="Arial" w:eastAsia="Times New Roman" w:cs="Arial"/>
          <w:color w:val="000000"/>
          <w:kern w:val="0"/>
          <w:sz w:val="24"/>
          <w:szCs w:val="24"/>
          <w:lang w:eastAsia="fr-FR"/>
          <w14:ligatures w14:val="none"/>
        </w:rPr>
      </w:pPr>
      <w:r>
        <w:rPr>
          <w:rFonts w:ascii="Arial" w:hAnsi="Arial" w:eastAsia="Times New Roman" w:cs="Arial"/>
          <w:color w:val="000000"/>
          <w:kern w:val="0"/>
          <w:sz w:val="24"/>
          <w:szCs w:val="24"/>
          <w:lang w:eastAsia="fr-FR"/>
          <w14:ligatures w14:val="none"/>
        </w:rPr>
        <w:t>Le CV devra comporter, pour chaque expérience, l’ensemble des références permettant de vérifier l’exactitude des informations.</w:t>
      </w:r>
    </w:p>
    <w:p w14:paraId="3BBFFBA0">
      <w:pPr>
        <w:shd w:val="clear" w:color="auto" w:fill="FFFFFF"/>
        <w:spacing w:after="0" w:line="240" w:lineRule="auto"/>
        <w:contextualSpacing/>
        <w:textAlignment w:val="baseline"/>
        <w:rPr>
          <w:rFonts w:ascii="Arial" w:hAnsi="Arial" w:eastAsia="Times New Roman" w:cs="Arial"/>
          <w:color w:val="000000"/>
          <w:kern w:val="0"/>
          <w:sz w:val="24"/>
          <w:szCs w:val="24"/>
          <w:lang w:eastAsia="fr-FR"/>
          <w14:ligatures w14:val="none"/>
        </w:rPr>
      </w:pPr>
      <w:r>
        <w:rPr>
          <w:rFonts w:ascii="Arial" w:hAnsi="Arial" w:eastAsia="Times New Roman" w:cs="Arial"/>
          <w:b/>
          <w:bCs/>
          <w:kern w:val="0"/>
          <w:sz w:val="24"/>
          <w:szCs w:val="24"/>
          <w:lang w:eastAsia="fr-FR"/>
          <w14:ligatures w14:val="none"/>
        </w:rPr>
        <w:t>NB :</w:t>
      </w:r>
      <w:r>
        <w:rPr>
          <w:rFonts w:ascii="Arial" w:hAnsi="Arial" w:eastAsia="Times New Roman" w:cs="Arial"/>
          <w:kern w:val="0"/>
          <w:sz w:val="24"/>
          <w:szCs w:val="24"/>
          <w:lang w:eastAsia="fr-FR"/>
          <w14:ligatures w14:val="none"/>
        </w:rPr>
        <w:t> </w:t>
      </w:r>
      <w:r>
        <w:rPr>
          <w:rFonts w:ascii="Arial" w:hAnsi="Arial" w:eastAsia="Times New Roman" w:cs="Arial"/>
          <w:color w:val="000000"/>
          <w:kern w:val="0"/>
          <w:sz w:val="24"/>
          <w:szCs w:val="24"/>
          <w:lang w:eastAsia="fr-FR"/>
          <w14:ligatures w14:val="none"/>
        </w:rPr>
        <w:t>Un casier judiciaire datant de moins de trois mois sera exigé au candidat ou la candidate retenu (e) avant la signature du contrat.</w:t>
      </w:r>
    </w:p>
    <w:p w14:paraId="4F250B6E">
      <w:pPr>
        <w:spacing w:line="240" w:lineRule="auto"/>
        <w:contextualSpacing/>
        <w:rPr>
          <w:rFonts w:ascii="Arial" w:hAnsi="Arial" w:cs="Arial"/>
          <w:sz w:val="24"/>
          <w:szCs w:val="24"/>
        </w:rPr>
      </w:pPr>
    </w:p>
    <w:p w14:paraId="4AAF6ED1">
      <w:pPr>
        <w:pStyle w:val="2"/>
        <w:numPr>
          <w:ilvl w:val="0"/>
          <w:numId w:val="1"/>
        </w:numPr>
        <w:spacing w:line="240" w:lineRule="auto"/>
        <w:contextualSpacing/>
        <w:rPr>
          <w:rFonts w:ascii="Arial" w:hAnsi="Arial" w:eastAsia="Times New Roman" w:cs="Arial"/>
          <w:b/>
          <w:bCs/>
          <w:sz w:val="24"/>
          <w:szCs w:val="24"/>
          <w:lang w:eastAsia="fr-FR"/>
        </w:rPr>
      </w:pPr>
      <w:r>
        <w:rPr>
          <w:rFonts w:ascii="Arial" w:hAnsi="Arial" w:eastAsia="Times New Roman" w:cs="Arial"/>
          <w:b/>
          <w:bCs/>
          <w:sz w:val="24"/>
          <w:szCs w:val="24"/>
          <w:lang w:eastAsia="fr-FR"/>
        </w:rPr>
        <w:t>Date limite et lieu de dépôt des candidatures</w:t>
      </w:r>
    </w:p>
    <w:p w14:paraId="4ECFCFB9">
      <w:pPr>
        <w:spacing w:line="240" w:lineRule="auto"/>
        <w:contextualSpacing/>
        <w:jc w:val="both"/>
        <w:rPr>
          <w:rFonts w:ascii="Arial" w:hAnsi="Arial" w:cs="Arial"/>
          <w:b/>
          <w:bCs/>
          <w:sz w:val="28"/>
          <w:szCs w:val="28"/>
        </w:rPr>
      </w:pPr>
      <w:r>
        <w:rPr>
          <w:rFonts w:ascii="Arial" w:hAnsi="Arial" w:cs="Arial"/>
          <w:b/>
          <w:bCs/>
          <w:sz w:val="28"/>
          <w:szCs w:val="28"/>
        </w:rPr>
        <w:t>Les dossiers de candidature doivent être déposés au plus tard le jeudi O6 août 2026 à 15 heures (heures locales) à l’adresse suivante :</w:t>
      </w:r>
    </w:p>
    <w:p w14:paraId="184BF5BD">
      <w:pPr>
        <w:spacing w:line="240" w:lineRule="auto"/>
        <w:contextualSpacing/>
        <w:rPr>
          <w:rFonts w:ascii="Arial" w:hAnsi="Arial" w:cs="Arial"/>
          <w:sz w:val="24"/>
          <w:szCs w:val="24"/>
        </w:rPr>
      </w:pPr>
    </w:p>
    <w:p w14:paraId="666435B3">
      <w:pPr>
        <w:spacing w:line="240" w:lineRule="auto"/>
        <w:contextualSpacing/>
        <w:rPr>
          <w:rFonts w:ascii="Arial" w:hAnsi="Arial" w:cs="Arial"/>
          <w:sz w:val="24"/>
          <w:szCs w:val="24"/>
        </w:rPr>
      </w:pPr>
      <w:r>
        <w:rPr>
          <w:rFonts w:ascii="Arial" w:hAnsi="Arial" w:cs="Arial"/>
          <w:sz w:val="24"/>
          <w:szCs w:val="24"/>
        </w:rPr>
        <w:t>Unité de Gestion du Projet</w:t>
      </w:r>
    </w:p>
    <w:p w14:paraId="02955910">
      <w:pPr>
        <w:spacing w:line="240" w:lineRule="auto"/>
        <w:contextualSpacing/>
        <w:rPr>
          <w:rFonts w:ascii="Arial" w:hAnsi="Arial" w:cs="Arial"/>
          <w:sz w:val="24"/>
          <w:szCs w:val="24"/>
        </w:rPr>
      </w:pPr>
      <w:r>
        <w:rPr>
          <w:rFonts w:ascii="Arial" w:hAnsi="Arial" w:cs="Arial"/>
          <w:sz w:val="24"/>
          <w:szCs w:val="24"/>
        </w:rPr>
        <w:t>Quartier BOBIAL</w:t>
      </w:r>
    </w:p>
    <w:p w14:paraId="297AEF8B">
      <w:pPr>
        <w:spacing w:line="240" w:lineRule="auto"/>
        <w:contextualSpacing/>
        <w:rPr>
          <w:rFonts w:ascii="Arial" w:hAnsi="Arial" w:cs="Arial"/>
          <w:sz w:val="24"/>
          <w:szCs w:val="24"/>
        </w:rPr>
      </w:pPr>
      <w:r>
        <w:rPr>
          <w:rFonts w:ascii="Arial" w:hAnsi="Arial" w:cs="Arial"/>
          <w:sz w:val="24"/>
          <w:szCs w:val="24"/>
        </w:rPr>
        <w:t>Avenue MAHAMADOU BOHARI</w:t>
      </w:r>
    </w:p>
    <w:p w14:paraId="005C252C">
      <w:pPr>
        <w:spacing w:line="240" w:lineRule="auto"/>
        <w:contextualSpacing/>
        <w:rPr>
          <w:rFonts w:ascii="Arial" w:hAnsi="Arial" w:cs="Arial"/>
          <w:sz w:val="24"/>
          <w:szCs w:val="24"/>
        </w:rPr>
      </w:pPr>
      <w:r>
        <w:rPr>
          <w:rFonts w:ascii="Arial" w:hAnsi="Arial" w:cs="Arial"/>
          <w:sz w:val="24"/>
          <w:szCs w:val="24"/>
        </w:rPr>
        <w:t>A 200 m de la Sation d’essence RPS</w:t>
      </w:r>
    </w:p>
    <w:p w14:paraId="3393990F">
      <w:pPr>
        <w:spacing w:line="240" w:lineRule="auto"/>
        <w:contextualSpacing/>
        <w:rPr>
          <w:rFonts w:ascii="Arial" w:hAnsi="Arial" w:cs="Arial"/>
          <w:sz w:val="24"/>
          <w:szCs w:val="24"/>
        </w:rPr>
      </w:pPr>
      <w:r>
        <w:rPr>
          <w:rFonts w:ascii="Arial" w:hAnsi="Arial" w:cs="Arial"/>
          <w:sz w:val="24"/>
          <w:szCs w:val="24"/>
        </w:rPr>
        <w:t>Niamey, Niger</w:t>
      </w: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Aptos">
    <w:altName w:val="Segoe UI"/>
    <w:panose1 w:val="00000000000000000000"/>
    <w:charset w:val="00"/>
    <w:family w:val="swiss"/>
    <w:pitch w:val="default"/>
    <w:sig w:usb0="00000000" w:usb1="00000000" w:usb2="00000000" w:usb3="00000000" w:csb0="0000019F" w:csb1="00000000"/>
  </w:font>
  <w:font w:name="Symbol">
    <w:panose1 w:val="050501020107060205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A9068">
    <w:pPr>
      <w:pStyle w:val="19"/>
    </w:pPr>
    <w:r>
      <mc:AlternateContent>
        <mc:Choice Requires="wps">
          <w:drawing>
            <wp:anchor distT="0" distB="0" distL="0" distR="0" simplePos="0" relativeHeight="251661312" behindDoc="0" locked="0" layoutInCell="1" allowOverlap="1">
              <wp:simplePos x="0" y="0"/>
              <wp:positionH relativeFrom="page">
                <wp:align>right</wp:align>
              </wp:positionH>
              <wp:positionV relativeFrom="page">
                <wp:align>bottom</wp:align>
              </wp:positionV>
              <wp:extent cx="1158875" cy="352425"/>
              <wp:effectExtent l="0" t="0" r="0" b="0"/>
              <wp:wrapNone/>
              <wp:docPr id="942355458" name="Text Box 3" descr="Official Use Only"/>
              <wp:cNvGraphicFramePr/>
              <a:graphic xmlns:a="http://schemas.openxmlformats.org/drawingml/2006/main">
                <a:graphicData uri="http://schemas.microsoft.com/office/word/2010/wordprocessingShape">
                  <wps:wsp>
                    <wps:cNvSpPr txBox="1"/>
                    <wps:spPr>
                      <a:xfrm>
                        <a:off x="0" y="0"/>
                        <a:ext cx="1158875" cy="352425"/>
                      </a:xfrm>
                      <a:prstGeom prst="rect">
                        <a:avLst/>
                      </a:prstGeom>
                      <a:noFill/>
                      <a:ln>
                        <a:noFill/>
                      </a:ln>
                    </wps:spPr>
                    <wps:txbx>
                      <w:txbxContent>
                        <w:p w14:paraId="53C164DA">
                          <w:pPr>
                            <w:spacing w:after="0"/>
                            <w:rPr>
                              <w:rFonts w:ascii="Aptos" w:hAnsi="Aptos" w:eastAsia="Aptos" w:cs="Aptos"/>
                              <w:color w:val="000000"/>
                              <w:sz w:val="20"/>
                              <w:szCs w:val="20"/>
                            </w:rPr>
                          </w:pPr>
                          <w:r>
                            <w:rPr>
                              <w:rFonts w:ascii="Aptos" w:hAnsi="Aptos" w:eastAsia="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spAutoFit/>
                    </wps:bodyPr>
                  </wps:wsp>
                </a:graphicData>
              </a:graphic>
            </wp:anchor>
          </w:drawing>
        </mc:Choice>
        <mc:Fallback>
          <w:pict>
            <v:shape id="Text Box 3" o:spid="_x0000_s1026" o:spt="202" alt="Official Use Only" type="#_x0000_t202" style="position:absolute;left:0pt;height:27.75pt;width:91.25pt;mso-position-horizontal:right;mso-position-horizontal-relative:page;mso-position-vertical:bottom;mso-position-vertical-relative:page;mso-wrap-style:none;z-index:251661312;v-text-anchor:bottom;mso-width-relative:page;mso-height-relative:page;" filled="f" stroked="f" coordsize="21600,21600" o:gfxdata="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3GFPfdUAAAAEAQAADwAAAAAAAAABACAAAAAiAAAAZHJzL2Rv&#10;d25yZXYueG1sUEsBAhQAFAAAAAgAh07iQFg91L89AgAAdgQAAA4AAAAAAAAAAQAgAAAAJAEAAGRy&#10;cy9lMm9Eb2MueG1sUEsFBgAAAAAGAAYAWQEAANMFAAAAAA==&#10;">
              <v:fill on="f" focussize="0,0"/>
              <v:stroke on="f"/>
              <v:imagedata o:title=""/>
              <o:lock v:ext="edit" aspectratio="f"/>
              <v:textbox inset="0mm,0mm,20pt,15pt" style="mso-fit-shape-to-text:t;">
                <w:txbxContent>
                  <w:p w14:paraId="53C164DA">
                    <w:pPr>
                      <w:spacing w:after="0"/>
                      <w:rPr>
                        <w:rFonts w:ascii="Aptos" w:hAnsi="Aptos" w:eastAsia="Aptos" w:cs="Aptos"/>
                        <w:color w:val="000000"/>
                        <w:sz w:val="20"/>
                        <w:szCs w:val="20"/>
                      </w:rPr>
                    </w:pPr>
                    <w:r>
                      <w:rPr>
                        <w:rFonts w:ascii="Aptos" w:hAnsi="Aptos" w:eastAsia="Aptos" w:cs="Aptos"/>
                        <w:color w:val="000000"/>
                        <w:sz w:val="20"/>
                        <w:szCs w:val="20"/>
                      </w:rPr>
                      <w:t>Official Use Only</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E7095">
    <w:pPr>
      <w:pStyle w:val="19"/>
    </w:pPr>
    <w:r>
      <mc:AlternateContent>
        <mc:Choice Requires="wps">
          <w:drawing>
            <wp:anchor distT="0" distB="0" distL="0" distR="0" simplePos="0" relativeHeight="251660288" behindDoc="0" locked="0" layoutInCell="1" allowOverlap="1">
              <wp:simplePos x="0" y="0"/>
              <wp:positionH relativeFrom="page">
                <wp:align>right</wp:align>
              </wp:positionH>
              <wp:positionV relativeFrom="page">
                <wp:align>bottom</wp:align>
              </wp:positionV>
              <wp:extent cx="1158875" cy="352425"/>
              <wp:effectExtent l="0" t="0" r="0" b="0"/>
              <wp:wrapNone/>
              <wp:docPr id="1213054596" name="Text Box 2" descr="Official Use Only"/>
              <wp:cNvGraphicFramePr/>
              <a:graphic xmlns:a="http://schemas.openxmlformats.org/drawingml/2006/main">
                <a:graphicData uri="http://schemas.microsoft.com/office/word/2010/wordprocessingShape">
                  <wps:wsp>
                    <wps:cNvSpPr txBox="1"/>
                    <wps:spPr>
                      <a:xfrm>
                        <a:off x="0" y="0"/>
                        <a:ext cx="1158875" cy="352425"/>
                      </a:xfrm>
                      <a:prstGeom prst="rect">
                        <a:avLst/>
                      </a:prstGeom>
                      <a:noFill/>
                      <a:ln>
                        <a:noFill/>
                      </a:ln>
                    </wps:spPr>
                    <wps:txbx>
                      <w:txbxContent>
                        <w:p w14:paraId="67358FF9">
                          <w:pPr>
                            <w:spacing w:after="0"/>
                            <w:rPr>
                              <w:rFonts w:ascii="Aptos" w:hAnsi="Aptos" w:eastAsia="Aptos" w:cs="Aptos"/>
                              <w:color w:val="000000"/>
                              <w:sz w:val="20"/>
                              <w:szCs w:val="20"/>
                            </w:rPr>
                          </w:pPr>
                          <w:r>
                            <w:rPr>
                              <w:rFonts w:ascii="Aptos" w:hAnsi="Aptos" w:eastAsia="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spAutoFit/>
                    </wps:bodyPr>
                  </wps:wsp>
                </a:graphicData>
              </a:graphic>
            </wp:anchor>
          </w:drawing>
        </mc:Choice>
        <mc:Fallback>
          <w:pict>
            <v:shape id="Text Box 2" o:spid="_x0000_s1026" o:spt="202" alt="Official Use Only" type="#_x0000_t202" style="position:absolute;left:0pt;height:27.75pt;width:91.25pt;mso-position-horizontal:right;mso-position-horizontal-relative:page;mso-position-vertical:bottom;mso-position-vertical-relative:page;mso-wrap-style:none;z-index:251660288;v-text-anchor:bottom;mso-width-relative:page;mso-height-relative:page;" filled="f" stroked="f" coordsize="21600,21600" o:gfxdata="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3GFPfdUAAAAEAQAADwAAAAAAAAABACAAAAAiAAAAZHJzL2Rv&#10;d25yZXYueG1sUEsBAhQAFAAAAAgAh07iQBXvDS89AgAAdwQAAA4AAAAAAAAAAQAgAAAAJAEAAGRy&#10;cy9lMm9Eb2MueG1sUEsFBgAAAAAGAAYAWQEAANMFAAAAAA==&#10;">
              <v:fill on="f" focussize="0,0"/>
              <v:stroke on="f"/>
              <v:imagedata o:title=""/>
              <o:lock v:ext="edit" aspectratio="f"/>
              <v:textbox inset="0mm,0mm,20pt,15pt" style="mso-fit-shape-to-text:t;">
                <w:txbxContent>
                  <w:p w14:paraId="67358FF9">
                    <w:pPr>
                      <w:spacing w:after="0"/>
                      <w:rPr>
                        <w:rFonts w:ascii="Aptos" w:hAnsi="Aptos" w:eastAsia="Aptos" w:cs="Aptos"/>
                        <w:color w:val="000000"/>
                        <w:sz w:val="20"/>
                        <w:szCs w:val="20"/>
                      </w:rPr>
                    </w:pPr>
                    <w:r>
                      <w:rPr>
                        <w:rFonts w:ascii="Aptos" w:hAnsi="Aptos" w:eastAsia="Aptos" w:cs="Aptos"/>
                        <w:color w:val="000000"/>
                        <w:sz w:val="20"/>
                        <w:szCs w:val="20"/>
                      </w:rPr>
                      <w:t>Official Use Only</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CDA1D">
    <w:pPr>
      <w:pStyle w:val="19"/>
    </w:pPr>
    <w:r>
      <mc:AlternateContent>
        <mc:Choice Requires="wps">
          <w:drawing>
            <wp:anchor distT="0" distB="0" distL="0" distR="0" simplePos="0" relativeHeight="251659264" behindDoc="0" locked="0" layoutInCell="1" allowOverlap="1">
              <wp:simplePos x="0" y="0"/>
              <wp:positionH relativeFrom="page">
                <wp:align>right</wp:align>
              </wp:positionH>
              <wp:positionV relativeFrom="page">
                <wp:align>bottom</wp:align>
              </wp:positionV>
              <wp:extent cx="1158875" cy="352425"/>
              <wp:effectExtent l="0" t="0" r="0" b="0"/>
              <wp:wrapNone/>
              <wp:docPr id="1726845249" name="Text Box 1" descr="Official Use Only"/>
              <wp:cNvGraphicFramePr/>
              <a:graphic xmlns:a="http://schemas.openxmlformats.org/drawingml/2006/main">
                <a:graphicData uri="http://schemas.microsoft.com/office/word/2010/wordprocessingShape">
                  <wps:wsp>
                    <wps:cNvSpPr txBox="1"/>
                    <wps:spPr>
                      <a:xfrm>
                        <a:off x="0" y="0"/>
                        <a:ext cx="1158875" cy="352425"/>
                      </a:xfrm>
                      <a:prstGeom prst="rect">
                        <a:avLst/>
                      </a:prstGeom>
                      <a:noFill/>
                      <a:ln>
                        <a:noFill/>
                      </a:ln>
                    </wps:spPr>
                    <wps:txbx>
                      <w:txbxContent>
                        <w:p w14:paraId="28E2B376">
                          <w:pPr>
                            <w:spacing w:after="0"/>
                            <w:rPr>
                              <w:rFonts w:ascii="Aptos" w:hAnsi="Aptos" w:eastAsia="Aptos" w:cs="Aptos"/>
                              <w:color w:val="000000"/>
                              <w:sz w:val="20"/>
                              <w:szCs w:val="20"/>
                            </w:rPr>
                          </w:pPr>
                          <w:r>
                            <w:rPr>
                              <w:rFonts w:ascii="Aptos" w:hAnsi="Aptos" w:eastAsia="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spAutoFit/>
                    </wps:bodyPr>
                  </wps:wsp>
                </a:graphicData>
              </a:graphic>
            </wp:anchor>
          </w:drawing>
        </mc:Choice>
        <mc:Fallback>
          <w:pict>
            <v:shape id="Text Box 1" o:spid="_x0000_s1026" o:spt="202" alt="Official Use Only" type="#_x0000_t202" style="position:absolute;left:0pt;height:27.75pt;width:91.25pt;mso-position-horizontal:right;mso-position-horizontal-relative:page;mso-position-vertical:bottom;mso-position-vertical-relative:page;mso-wrap-style:none;z-index:251659264;v-text-anchor:bottom;mso-width-relative:page;mso-height-relative:page;" filled="f" stroked="f" coordsize="21600,21600" o:gfxdata="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cYU991QAAAAQBAAAPAAAAAAAAAAEAIAAAACIAAABkcnMvZG93&#10;bnJldi54bWxQSwECFAAUAAAACACHTuJAJOFSkDwCAAB3BAAADgAAAAAAAAABACAAAAAkAQAAZHJz&#10;L2Uyb0RvYy54bWxQSwUGAAAAAAYABgBZAQAA0gUAAAAA&#10;">
              <v:fill on="f" focussize="0,0"/>
              <v:stroke on="f"/>
              <v:imagedata o:title=""/>
              <o:lock v:ext="edit" aspectratio="f"/>
              <v:textbox inset="0mm,0mm,20pt,15pt" style="mso-fit-shape-to-text:t;">
                <w:txbxContent>
                  <w:p w14:paraId="28E2B376">
                    <w:pPr>
                      <w:spacing w:after="0"/>
                      <w:rPr>
                        <w:rFonts w:ascii="Aptos" w:hAnsi="Aptos" w:eastAsia="Aptos" w:cs="Aptos"/>
                        <w:color w:val="000000"/>
                        <w:sz w:val="20"/>
                        <w:szCs w:val="20"/>
                      </w:rPr>
                    </w:pPr>
                    <w:r>
                      <w:rPr>
                        <w:rFonts w:ascii="Aptos" w:hAnsi="Aptos" w:eastAsia="Aptos" w:cs="Aptos"/>
                        <w:color w:val="000000"/>
                        <w:sz w:val="20"/>
                        <w:szCs w:val="20"/>
                      </w:rPr>
                      <w:t>Official Use Only</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56" w:lineRule="auto"/>
      </w:pPr>
      <w:r>
        <w:separator/>
      </w:r>
    </w:p>
  </w:footnote>
  <w:footnote w:type="continuationSeparator" w:id="3">
    <w:p>
      <w:pPr>
        <w:spacing w:before="0" w:after="0" w:line="256" w:lineRule="auto"/>
      </w:pPr>
      <w:r>
        <w:continuationSeparator/>
      </w:r>
    </w:p>
  </w:footnote>
  <w:footnote w:id="0">
    <w:p w14:paraId="2DD47623">
      <w:pPr>
        <w:pStyle w:val="16"/>
        <w:jc w:val="both"/>
        <w:rPr>
          <w:sz w:val="16"/>
          <w:lang w:val="fr-FR"/>
        </w:rPr>
      </w:pPr>
      <w:r>
        <w:rPr>
          <w:rStyle w:val="12"/>
          <w:sz w:val="16"/>
        </w:rPr>
        <w:footnoteRef/>
      </w:r>
      <w:r>
        <w:rPr>
          <w:rFonts w:ascii="Calibri" w:hAnsi="Calibri" w:eastAsia="Calibri" w:cs="Calibri"/>
          <w:sz w:val="16"/>
          <w:szCs w:val="16"/>
          <w:lang w:val="fr-FR"/>
        </w:rPr>
        <w:t xml:space="preserve">  Traditionnellement, les interventions d'Approvisionnement en eau et d'assainissement (AEA) étaient menées dans les limites des frontières administratives des communes, tandis que les interventions de gestion des ressources en eau (GRE) étaient axées sur les agences responsables des bassins et des sous-bassins. Ajoutant à cela un nombre d'acteurs centraux et décentralisés plus élevé, il était difficile d'assurer même une coordination de base.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D91452"/>
    <w:multiLevelType w:val="multilevel"/>
    <w:tmpl w:val="1ED9145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2A6A537B"/>
    <w:multiLevelType w:val="multilevel"/>
    <w:tmpl w:val="2A6A537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2DA12CA6"/>
    <w:multiLevelType w:val="multilevel"/>
    <w:tmpl w:val="2DA12CA6"/>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3">
    <w:nsid w:val="569300A1"/>
    <w:multiLevelType w:val="multilevel"/>
    <w:tmpl w:val="569300A1"/>
    <w:lvl w:ilvl="0" w:tentative="0">
      <w:start w:val="1"/>
      <w:numFmt w:val="decimal"/>
      <w:lvlText w:val="%1."/>
      <w:lvlJc w:val="left"/>
      <w:pPr>
        <w:ind w:left="720" w:hanging="360"/>
      </w:pPr>
      <w:rPr>
        <w:rFonts w:hint="default"/>
        <w:color w:val="2F5597" w:themeColor="accent1" w:themeShade="BF"/>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7A5A2F7C"/>
    <w:multiLevelType w:val="multilevel"/>
    <w:tmpl w:val="7A5A2F7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2"/>
    <w:footnote w:id="3"/>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956"/>
    <w:rsid w:val="00016A4A"/>
    <w:rsid w:val="00050ED7"/>
    <w:rsid w:val="00077D6A"/>
    <w:rsid w:val="00085C4E"/>
    <w:rsid w:val="000A661E"/>
    <w:rsid w:val="000B0925"/>
    <w:rsid w:val="000B5149"/>
    <w:rsid w:val="000C0CC1"/>
    <w:rsid w:val="000C163B"/>
    <w:rsid w:val="000C56F2"/>
    <w:rsid w:val="000F390E"/>
    <w:rsid w:val="0010591D"/>
    <w:rsid w:val="00127A95"/>
    <w:rsid w:val="00152EC6"/>
    <w:rsid w:val="00170A9D"/>
    <w:rsid w:val="00170C83"/>
    <w:rsid w:val="00185843"/>
    <w:rsid w:val="0019157D"/>
    <w:rsid w:val="001A3FDF"/>
    <w:rsid w:val="001C02DA"/>
    <w:rsid w:val="001C796A"/>
    <w:rsid w:val="00213170"/>
    <w:rsid w:val="00233AFF"/>
    <w:rsid w:val="00234700"/>
    <w:rsid w:val="0023710F"/>
    <w:rsid w:val="002B1176"/>
    <w:rsid w:val="002D03BA"/>
    <w:rsid w:val="00322201"/>
    <w:rsid w:val="00336BC3"/>
    <w:rsid w:val="00343B15"/>
    <w:rsid w:val="003A30DD"/>
    <w:rsid w:val="003A3CB7"/>
    <w:rsid w:val="003F617F"/>
    <w:rsid w:val="00406FB8"/>
    <w:rsid w:val="00415E42"/>
    <w:rsid w:val="004765E5"/>
    <w:rsid w:val="00492209"/>
    <w:rsid w:val="004F4CEB"/>
    <w:rsid w:val="005119A8"/>
    <w:rsid w:val="00515E6B"/>
    <w:rsid w:val="005531B2"/>
    <w:rsid w:val="005576E5"/>
    <w:rsid w:val="005E20B0"/>
    <w:rsid w:val="006032B8"/>
    <w:rsid w:val="006166E9"/>
    <w:rsid w:val="00632503"/>
    <w:rsid w:val="006514A2"/>
    <w:rsid w:val="00656FE6"/>
    <w:rsid w:val="00662FCD"/>
    <w:rsid w:val="00672CF6"/>
    <w:rsid w:val="006869BE"/>
    <w:rsid w:val="00692079"/>
    <w:rsid w:val="006A2F30"/>
    <w:rsid w:val="006A777D"/>
    <w:rsid w:val="006D3FE9"/>
    <w:rsid w:val="006E11F6"/>
    <w:rsid w:val="00706DF1"/>
    <w:rsid w:val="007342C3"/>
    <w:rsid w:val="00743556"/>
    <w:rsid w:val="00782262"/>
    <w:rsid w:val="00782F8F"/>
    <w:rsid w:val="007A5095"/>
    <w:rsid w:val="007E4DCE"/>
    <w:rsid w:val="00807706"/>
    <w:rsid w:val="008253D8"/>
    <w:rsid w:val="00850D49"/>
    <w:rsid w:val="00860E61"/>
    <w:rsid w:val="008830D4"/>
    <w:rsid w:val="008D25A1"/>
    <w:rsid w:val="008D66BD"/>
    <w:rsid w:val="0090174B"/>
    <w:rsid w:val="00916EAA"/>
    <w:rsid w:val="0092548D"/>
    <w:rsid w:val="00945DD9"/>
    <w:rsid w:val="00964424"/>
    <w:rsid w:val="00965093"/>
    <w:rsid w:val="009C7AAE"/>
    <w:rsid w:val="00A11F5F"/>
    <w:rsid w:val="00A15F7A"/>
    <w:rsid w:val="00A340FB"/>
    <w:rsid w:val="00A3738D"/>
    <w:rsid w:val="00A64FF6"/>
    <w:rsid w:val="00B1029B"/>
    <w:rsid w:val="00B73B53"/>
    <w:rsid w:val="00B85A7F"/>
    <w:rsid w:val="00BA36E9"/>
    <w:rsid w:val="00BC31F5"/>
    <w:rsid w:val="00BD5A17"/>
    <w:rsid w:val="00BF0AF3"/>
    <w:rsid w:val="00BF1A05"/>
    <w:rsid w:val="00BF53AC"/>
    <w:rsid w:val="00C434DF"/>
    <w:rsid w:val="00C44D4B"/>
    <w:rsid w:val="00C4797F"/>
    <w:rsid w:val="00C52956"/>
    <w:rsid w:val="00C64BC7"/>
    <w:rsid w:val="00C875F4"/>
    <w:rsid w:val="00C95189"/>
    <w:rsid w:val="00CD3ED5"/>
    <w:rsid w:val="00CF662D"/>
    <w:rsid w:val="00D25D4A"/>
    <w:rsid w:val="00D56DDB"/>
    <w:rsid w:val="00DD5D98"/>
    <w:rsid w:val="00DF7913"/>
    <w:rsid w:val="00E05815"/>
    <w:rsid w:val="00E50308"/>
    <w:rsid w:val="00E616C0"/>
    <w:rsid w:val="00EB2AC1"/>
    <w:rsid w:val="00EB7F48"/>
    <w:rsid w:val="00ED4BBB"/>
    <w:rsid w:val="00ED50E1"/>
    <w:rsid w:val="00F1746B"/>
    <w:rsid w:val="00F24FB3"/>
    <w:rsid w:val="00F477AF"/>
    <w:rsid w:val="00F6410A"/>
    <w:rsid w:val="00F84779"/>
    <w:rsid w:val="00FD12B6"/>
    <w:rsid w:val="00FF5C4E"/>
    <w:rsid w:val="37EFB617"/>
    <w:rsid w:val="3B03B3BB"/>
    <w:rsid w:val="3DC60307"/>
    <w:rsid w:val="3FA27D8E"/>
    <w:rsid w:val="5C741151"/>
    <w:rsid w:val="671A1B69"/>
    <w:rsid w:val="7329794D"/>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semiHidden="0"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99" w:semiHidden="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Balloon Text"/>
    <w:lsdException w:qFormat="1" w:unhideWhenUsed="0" w:uiPriority="0"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160" w:line="256" w:lineRule="auto"/>
    </w:pPr>
    <w:rPr>
      <w:rFonts w:asciiTheme="minorHAnsi" w:hAnsiTheme="minorHAnsi" w:eastAsiaTheme="minorHAnsi" w:cstheme="minorBidi"/>
      <w:kern w:val="2"/>
      <w:sz w:val="22"/>
      <w:szCs w:val="22"/>
      <w:lang w:val="fr-FR" w:eastAsia="en-US" w:bidi="ar-SA"/>
      <w14:ligatures w14:val="standardContextual"/>
    </w:rPr>
  </w:style>
  <w:style w:type="paragraph" w:styleId="2">
    <w:name w:val="heading 1"/>
    <w:basedOn w:val="1"/>
    <w:next w:val="1"/>
    <w:link w:val="22"/>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23"/>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24"/>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5"/>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6"/>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7"/>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8"/>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9"/>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30"/>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21">
    <w:name w:val="Normal Table"/>
    <w:semiHidden/>
    <w:unhideWhenUsed/>
    <w:uiPriority w:val="99"/>
    <w:tblPr>
      <w:tblCellMar>
        <w:top w:w="0" w:type="dxa"/>
        <w:left w:w="108" w:type="dxa"/>
        <w:bottom w:w="0" w:type="dxa"/>
        <w:right w:w="108" w:type="dxa"/>
      </w:tblCellMar>
    </w:tblPr>
  </w:style>
  <w:style w:type="character" w:styleId="12">
    <w:name w:val="footnote reference"/>
    <w:basedOn w:val="11"/>
    <w:link w:val="13"/>
    <w:qFormat/>
    <w:uiPriority w:val="99"/>
    <w:rPr>
      <w:vertAlign w:val="superscript"/>
    </w:rPr>
  </w:style>
  <w:style w:type="paragraph" w:customStyle="1" w:styleId="13">
    <w:name w:val="Carattere Carattere Char Char Char Char Char Char Zchn"/>
    <w:basedOn w:val="1"/>
    <w:link w:val="12"/>
    <w:qFormat/>
    <w:uiPriority w:val="99"/>
    <w:pPr>
      <w:spacing w:line="240" w:lineRule="exact"/>
      <w:jc w:val="both"/>
    </w:pPr>
    <w:rPr>
      <w:vertAlign w:val="superscript"/>
    </w:rPr>
  </w:style>
  <w:style w:type="character" w:styleId="14">
    <w:name w:val="annotation reference"/>
    <w:basedOn w:val="11"/>
    <w:semiHidden/>
    <w:unhideWhenUsed/>
    <w:qFormat/>
    <w:uiPriority w:val="99"/>
    <w:rPr>
      <w:sz w:val="16"/>
      <w:szCs w:val="16"/>
    </w:rPr>
  </w:style>
  <w:style w:type="paragraph" w:styleId="15">
    <w:name w:val="Subtitle"/>
    <w:basedOn w:val="1"/>
    <w:next w:val="1"/>
    <w:link w:val="32"/>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footnote text"/>
    <w:basedOn w:val="1"/>
    <w:link w:val="41"/>
    <w:unhideWhenUsed/>
    <w:qFormat/>
    <w:uiPriority w:val="99"/>
    <w:pPr>
      <w:widowControl w:val="0"/>
      <w:autoSpaceDE w:val="0"/>
      <w:autoSpaceDN w:val="0"/>
      <w:adjustRightInd w:val="0"/>
      <w:spacing w:after="0" w:line="240" w:lineRule="auto"/>
    </w:pPr>
    <w:rPr>
      <w:rFonts w:cs="Arial" w:eastAsiaTheme="minorEastAsia"/>
      <w:color w:val="000000"/>
      <w:kern w:val="0"/>
      <w:sz w:val="18"/>
      <w:szCs w:val="20"/>
      <w:lang w:val="en-US"/>
      <w14:ligatures w14:val="none"/>
    </w:rPr>
  </w:style>
  <w:style w:type="paragraph" w:styleId="17">
    <w:name w:val="annotation subject"/>
    <w:basedOn w:val="18"/>
    <w:next w:val="18"/>
    <w:link w:val="45"/>
    <w:semiHidden/>
    <w:unhideWhenUsed/>
    <w:qFormat/>
    <w:uiPriority w:val="99"/>
    <w:rPr>
      <w:b/>
      <w:bCs/>
    </w:rPr>
  </w:style>
  <w:style w:type="paragraph" w:styleId="18">
    <w:name w:val="annotation text"/>
    <w:basedOn w:val="1"/>
    <w:link w:val="44"/>
    <w:unhideWhenUsed/>
    <w:qFormat/>
    <w:uiPriority w:val="99"/>
    <w:pPr>
      <w:spacing w:line="240" w:lineRule="auto"/>
    </w:pPr>
    <w:rPr>
      <w:sz w:val="20"/>
      <w:szCs w:val="20"/>
    </w:rPr>
  </w:style>
  <w:style w:type="paragraph" w:styleId="19">
    <w:name w:val="footer"/>
    <w:basedOn w:val="1"/>
    <w:link w:val="46"/>
    <w:unhideWhenUsed/>
    <w:qFormat/>
    <w:uiPriority w:val="99"/>
    <w:pPr>
      <w:tabs>
        <w:tab w:val="center" w:pos="4680"/>
        <w:tab w:val="right" w:pos="9360"/>
      </w:tabs>
      <w:spacing w:after="0" w:line="240" w:lineRule="auto"/>
    </w:pPr>
  </w:style>
  <w:style w:type="paragraph" w:styleId="20">
    <w:name w:val="Title"/>
    <w:basedOn w:val="1"/>
    <w:next w:val="1"/>
    <w:link w:val="31"/>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22">
    <w:name w:val="Titre 1 Car"/>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23">
    <w:name w:val="Titre 2 Car"/>
    <w:basedOn w:val="11"/>
    <w:link w:val="3"/>
    <w:semiHidden/>
    <w:qFormat/>
    <w:uiPriority w:val="9"/>
    <w:rPr>
      <w:rFonts w:asciiTheme="majorHAnsi" w:hAnsiTheme="majorHAnsi" w:eastAsiaTheme="majorEastAsia" w:cstheme="majorBidi"/>
      <w:color w:val="2F5597" w:themeColor="accent1" w:themeShade="BF"/>
      <w:sz w:val="32"/>
      <w:szCs w:val="32"/>
    </w:rPr>
  </w:style>
  <w:style w:type="character" w:customStyle="1" w:styleId="24">
    <w:name w:val="Titre 3 Car"/>
    <w:basedOn w:val="11"/>
    <w:link w:val="4"/>
    <w:semiHidden/>
    <w:qFormat/>
    <w:uiPriority w:val="9"/>
    <w:rPr>
      <w:rFonts w:eastAsiaTheme="majorEastAsia" w:cstheme="majorBidi"/>
      <w:color w:val="2F5597" w:themeColor="accent1" w:themeShade="BF"/>
      <w:sz w:val="28"/>
      <w:szCs w:val="28"/>
    </w:rPr>
  </w:style>
  <w:style w:type="character" w:customStyle="1" w:styleId="25">
    <w:name w:val="Titre 4 Car"/>
    <w:basedOn w:val="11"/>
    <w:link w:val="5"/>
    <w:semiHidden/>
    <w:qFormat/>
    <w:uiPriority w:val="9"/>
    <w:rPr>
      <w:rFonts w:eastAsiaTheme="majorEastAsia" w:cstheme="majorBidi"/>
      <w:i/>
      <w:iCs/>
      <w:color w:val="2F5597" w:themeColor="accent1" w:themeShade="BF"/>
    </w:rPr>
  </w:style>
  <w:style w:type="character" w:customStyle="1" w:styleId="26">
    <w:name w:val="Titre 5 Car"/>
    <w:basedOn w:val="11"/>
    <w:link w:val="6"/>
    <w:semiHidden/>
    <w:qFormat/>
    <w:uiPriority w:val="9"/>
    <w:rPr>
      <w:rFonts w:eastAsiaTheme="majorEastAsia" w:cstheme="majorBidi"/>
      <w:color w:val="2F5597" w:themeColor="accent1" w:themeShade="BF"/>
    </w:rPr>
  </w:style>
  <w:style w:type="character" w:customStyle="1" w:styleId="27">
    <w:name w:val="Titre 6 C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8">
    <w:name w:val="Titre 7 C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Titre 8 C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30">
    <w:name w:val="Titre 9 C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31">
    <w:name w:val="Titre Car"/>
    <w:basedOn w:val="11"/>
    <w:link w:val="20"/>
    <w:uiPriority w:val="10"/>
    <w:rPr>
      <w:rFonts w:asciiTheme="majorHAnsi" w:hAnsiTheme="majorHAnsi" w:eastAsiaTheme="majorEastAsia" w:cstheme="majorBidi"/>
      <w:spacing w:val="-10"/>
      <w:kern w:val="28"/>
      <w:sz w:val="56"/>
      <w:szCs w:val="56"/>
    </w:rPr>
  </w:style>
  <w:style w:type="character" w:customStyle="1" w:styleId="32">
    <w:name w:val="Sous-titre Car"/>
    <w:basedOn w:val="11"/>
    <w:link w:val="1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3">
    <w:name w:val="Quote"/>
    <w:basedOn w:val="1"/>
    <w:next w:val="1"/>
    <w:link w:val="34"/>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4">
    <w:name w:val="Citation Car"/>
    <w:basedOn w:val="11"/>
    <w:link w:val="33"/>
    <w:qFormat/>
    <w:uiPriority w:val="29"/>
    <w:rPr>
      <w:i/>
      <w:iCs/>
      <w:color w:val="404040" w:themeColor="text1" w:themeTint="BF"/>
      <w14:textFill>
        <w14:solidFill>
          <w14:schemeClr w14:val="tx1">
            <w14:lumMod w14:val="75000"/>
            <w14:lumOff w14:val="25000"/>
          </w14:schemeClr>
        </w14:solidFill>
      </w14:textFill>
    </w:rPr>
  </w:style>
  <w:style w:type="paragraph" w:styleId="35">
    <w:name w:val="List Paragraph"/>
    <w:basedOn w:val="1"/>
    <w:link w:val="42"/>
    <w:qFormat/>
    <w:uiPriority w:val="0"/>
    <w:pPr>
      <w:ind w:left="720"/>
      <w:contextualSpacing/>
    </w:pPr>
  </w:style>
  <w:style w:type="character" w:customStyle="1" w:styleId="36">
    <w:name w:val="Intense Emphasis"/>
    <w:basedOn w:val="11"/>
    <w:qFormat/>
    <w:uiPriority w:val="21"/>
    <w:rPr>
      <w:i/>
      <w:iCs/>
      <w:color w:val="2F5597" w:themeColor="accent1" w:themeShade="BF"/>
    </w:rPr>
  </w:style>
  <w:style w:type="paragraph" w:styleId="37">
    <w:name w:val="Intense Quote"/>
    <w:basedOn w:val="1"/>
    <w:next w:val="1"/>
    <w:link w:val="38"/>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8">
    <w:name w:val="Citation intense Car"/>
    <w:basedOn w:val="11"/>
    <w:link w:val="37"/>
    <w:qFormat/>
    <w:uiPriority w:val="30"/>
    <w:rPr>
      <w:i/>
      <w:iCs/>
      <w:color w:val="2F5597" w:themeColor="accent1" w:themeShade="BF"/>
    </w:rPr>
  </w:style>
  <w:style w:type="character" w:customStyle="1" w:styleId="39">
    <w:name w:val="Intense Reference"/>
    <w:basedOn w:val="11"/>
    <w:qFormat/>
    <w:uiPriority w:val="32"/>
    <w:rPr>
      <w:b/>
      <w:bCs/>
      <w:smallCaps/>
      <w:color w:val="2F5597" w:themeColor="accent1" w:themeShade="BF"/>
      <w:spacing w:val="5"/>
    </w:rPr>
  </w:style>
  <w:style w:type="paragraph" w:customStyle="1" w:styleId="40">
    <w:name w:val="Default"/>
    <w:qFormat/>
    <w:uiPriority w:val="0"/>
    <w:pPr>
      <w:autoSpaceDE w:val="0"/>
      <w:autoSpaceDN w:val="0"/>
      <w:adjustRightInd w:val="0"/>
      <w:spacing w:after="0" w:line="240" w:lineRule="auto"/>
    </w:pPr>
    <w:rPr>
      <w:rFonts w:ascii="Calibri" w:hAnsi="Calibri" w:cs="Calibri" w:eastAsiaTheme="minorHAnsi"/>
      <w:color w:val="000000"/>
      <w:kern w:val="0"/>
      <w:sz w:val="24"/>
      <w:szCs w:val="24"/>
      <w:lang w:val="en-US" w:eastAsia="en-US" w:bidi="ar-SA"/>
      <w14:ligatures w14:val="none"/>
    </w:rPr>
  </w:style>
  <w:style w:type="character" w:customStyle="1" w:styleId="41">
    <w:name w:val="Note de bas de page Car"/>
    <w:basedOn w:val="11"/>
    <w:link w:val="16"/>
    <w:qFormat/>
    <w:uiPriority w:val="99"/>
    <w:rPr>
      <w:rFonts w:cs="Arial" w:eastAsiaTheme="minorEastAsia"/>
      <w:color w:val="000000"/>
      <w:kern w:val="0"/>
      <w:sz w:val="18"/>
      <w:szCs w:val="20"/>
      <w:lang w:val="en-US"/>
      <w14:ligatures w14:val="none"/>
    </w:rPr>
  </w:style>
  <w:style w:type="character" w:customStyle="1" w:styleId="42">
    <w:name w:val="Paragraphe de liste Car"/>
    <w:link w:val="35"/>
    <w:qFormat/>
    <w:locked/>
    <w:uiPriority w:val="0"/>
  </w:style>
  <w:style w:type="paragraph" w:customStyle="1" w:styleId="43">
    <w:name w:val="Revision"/>
    <w:hidden/>
    <w:semiHidden/>
    <w:qFormat/>
    <w:uiPriority w:val="99"/>
    <w:pPr>
      <w:spacing w:after="0" w:line="240" w:lineRule="auto"/>
    </w:pPr>
    <w:rPr>
      <w:rFonts w:asciiTheme="minorHAnsi" w:hAnsiTheme="minorHAnsi" w:eastAsiaTheme="minorHAnsi" w:cstheme="minorBidi"/>
      <w:kern w:val="2"/>
      <w:sz w:val="22"/>
      <w:szCs w:val="22"/>
      <w:lang w:val="fr-FR" w:eastAsia="en-US" w:bidi="ar-SA"/>
      <w14:ligatures w14:val="standardContextual"/>
    </w:rPr>
  </w:style>
  <w:style w:type="character" w:customStyle="1" w:styleId="44">
    <w:name w:val="Commentaire Car"/>
    <w:basedOn w:val="11"/>
    <w:link w:val="18"/>
    <w:qFormat/>
    <w:uiPriority w:val="99"/>
    <w:rPr>
      <w:sz w:val="20"/>
      <w:szCs w:val="20"/>
    </w:rPr>
  </w:style>
  <w:style w:type="character" w:customStyle="1" w:styleId="45">
    <w:name w:val="Objet du commentaire Car"/>
    <w:basedOn w:val="44"/>
    <w:link w:val="17"/>
    <w:semiHidden/>
    <w:qFormat/>
    <w:uiPriority w:val="99"/>
    <w:rPr>
      <w:b/>
      <w:bCs/>
      <w:sz w:val="20"/>
      <w:szCs w:val="20"/>
    </w:rPr>
  </w:style>
  <w:style w:type="character" w:customStyle="1" w:styleId="46">
    <w:name w:val="Pied de page Car"/>
    <w:basedOn w:val="11"/>
    <w:link w:val="19"/>
    <w:qFormat/>
    <w:uiPriority w:val="99"/>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5.xml"/><Relationship Id="rId14" Type="http://schemas.openxmlformats.org/officeDocument/2006/relationships/customXml" Target="../customXml/item4.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7" ma:contentTypeDescription="Create a new document." ma:contentTypeScope="" ma:versionID="03035bcd3cc363b89f80ef589750301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008ddc6ab448f8f8eedcb8847f7b94a9"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0DB7AA-D842-4A58-806D-9F643C96C131}">
  <ds:schemaRefs/>
</ds:datastoreItem>
</file>

<file path=customXml/itemProps3.xml><?xml version="1.0" encoding="utf-8"?>
<ds:datastoreItem xmlns:ds="http://schemas.openxmlformats.org/officeDocument/2006/customXml" ds:itemID="{51928F71-1B68-4083-8B03-3F73A2C4AA82}">
  <ds:schemaRefs/>
</ds:datastoreItem>
</file>

<file path=customXml/itemProps4.xml><?xml version="1.0" encoding="utf-8"?>
<ds:datastoreItem xmlns:ds="http://schemas.openxmlformats.org/officeDocument/2006/customXml" ds:itemID="{B217EA00-142D-48DE-9C51-83E910BE5D34}">
  <ds:schemaRefs/>
</ds:datastoreItem>
</file>

<file path=customXml/itemProps5.xml><?xml version="1.0" encoding="utf-8"?>
<ds:datastoreItem xmlns:ds="http://schemas.openxmlformats.org/officeDocument/2006/customXml" ds:itemID="{AA9145CF-F76A-42E3-90DA-2522451071A4}">
  <ds:schemaRefs/>
</ds:datastoreItem>
</file>

<file path=docProps/app.xml><?xml version="1.0" encoding="utf-8"?>
<Properties xmlns="http://schemas.openxmlformats.org/officeDocument/2006/extended-properties" xmlns:vt="http://schemas.openxmlformats.org/officeDocument/2006/docPropsVTypes">
  <Template>Normal.dotm</Template>
  <Pages>9</Pages>
  <Words>3315</Words>
  <Characters>18898</Characters>
  <Lines>157</Lines>
  <Paragraphs>44</Paragraphs>
  <TotalTime>24</TotalTime>
  <ScaleCrop>false</ScaleCrop>
  <LinksUpToDate>false</LinksUpToDate>
  <CharactersWithSpaces>22169</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2026-07-27T10:35:00Z</dcterms:created>
  <dc:creator>Moussa lamine</dc:creator>
  <cp:lastModifiedBy>HP</cp:lastModifiedBy>
  <dcterms:modified xsi:type="dcterms:W3CDTF">2026-07-27T11:56:57Z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y fmtid="{D5CDD505-2E9C-101B-9397-08002B2CF9AE}" pid="3" name="ClassificationContentMarkingFooterShapeIds">
    <vt:lpwstr>66ed9141,484dbe84,382b3402</vt:lpwstr>
  </property>
  <property fmtid="{D5CDD505-2E9C-101B-9397-08002B2CF9AE}" pid="4" name="ClassificationContentMarkingFooterFontProps">
    <vt:lpwstr>#000000,10,Aptos</vt:lpwstr>
  </property>
  <property fmtid="{D5CDD505-2E9C-101B-9397-08002B2CF9AE}" pid="5" name="ClassificationContentMarkingFooterText">
    <vt:lpwstr>Official Use Only</vt:lpwstr>
  </property>
  <property fmtid="{D5CDD505-2E9C-101B-9397-08002B2CF9AE}" pid="6" name="MSIP_Label_f1bf45b6-5649-4236-82a3-f45024cd282e_Enabled">
    <vt:lpwstr>true</vt:lpwstr>
  </property>
  <property fmtid="{D5CDD505-2E9C-101B-9397-08002B2CF9AE}" pid="7" name="MSIP_Label_f1bf45b6-5649-4236-82a3-f45024cd282e_SetDate">
    <vt:lpwstr>2026-06-22T15:55:36Z</vt:lpwstr>
  </property>
  <property fmtid="{D5CDD505-2E9C-101B-9397-08002B2CF9AE}" pid="8" name="MSIP_Label_f1bf45b6-5649-4236-82a3-f45024cd282e_Method">
    <vt:lpwstr>Standard</vt:lpwstr>
  </property>
  <property fmtid="{D5CDD505-2E9C-101B-9397-08002B2CF9AE}" pid="9" name="MSIP_Label_f1bf45b6-5649-4236-82a3-f45024cd282e_Name">
    <vt:lpwstr>Official Use Only</vt:lpwstr>
  </property>
  <property fmtid="{D5CDD505-2E9C-101B-9397-08002B2CF9AE}" pid="10" name="MSIP_Label_f1bf45b6-5649-4236-82a3-f45024cd282e_SiteId">
    <vt:lpwstr>31a2fec0-266b-4c67-b56e-2796d8f59c36</vt:lpwstr>
  </property>
  <property fmtid="{D5CDD505-2E9C-101B-9397-08002B2CF9AE}" pid="11" name="MSIP_Label_f1bf45b6-5649-4236-82a3-f45024cd282e_ActionId">
    <vt:lpwstr>89d83371-d611-497a-9bae-765c8d654765</vt:lpwstr>
  </property>
  <property fmtid="{D5CDD505-2E9C-101B-9397-08002B2CF9AE}" pid="12" name="MSIP_Label_f1bf45b6-5649-4236-82a3-f45024cd282e_ContentBits">
    <vt:lpwstr>2</vt:lpwstr>
  </property>
  <property fmtid="{D5CDD505-2E9C-101B-9397-08002B2CF9AE}" pid="13" name="MSIP_Label_f1bf45b6-5649-4236-82a3-f45024cd282e_Tag">
    <vt:lpwstr>10, 3, 0, 2</vt:lpwstr>
  </property>
  <property fmtid="{D5CDD505-2E9C-101B-9397-08002B2CF9AE}" pid="14" name="KSOProductBuildVer">
    <vt:lpwstr>1036-12.1.0.27458</vt:lpwstr>
  </property>
  <property fmtid="{D5CDD505-2E9C-101B-9397-08002B2CF9AE}" pid="15" name="ICV">
    <vt:lpwstr>131F458D1B4D4C6080B55693ACA6100A_13</vt:lpwstr>
  </property>
</Properties>
</file>