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EB49E">
      <w:pPr>
        <w:jc w:val="center"/>
        <w:rPr>
          <w:b/>
          <w:szCs w:val="24"/>
        </w:rPr>
      </w:pPr>
      <w:bookmarkStart w:id="4" w:name="_GoBack"/>
      <w:bookmarkEnd w:id="4"/>
      <w:r>
        <w:rPr>
          <w:b/>
          <w:szCs w:val="24"/>
        </w:rPr>
        <w:t>Appel d’Offres pour Fournitures</w:t>
      </w:r>
    </w:p>
    <w:p w14:paraId="37A3C76D">
      <w:pPr>
        <w:jc w:val="center"/>
        <w:rPr>
          <w:b/>
          <w:szCs w:val="24"/>
        </w:rPr>
      </w:pPr>
      <w:r>
        <w:rPr>
          <w:b/>
          <w:szCs w:val="24"/>
        </w:rPr>
        <w:t xml:space="preserve">(Processus à Deux Enveloppes) </w:t>
      </w:r>
    </w:p>
    <w:p w14:paraId="2126604A">
      <w:pPr>
        <w:jc w:val="center"/>
        <w:rPr>
          <w:i/>
          <w:iCs/>
        </w:rPr>
      </w:pPr>
    </w:p>
    <w:tbl>
      <w:tblPr>
        <w:tblStyle w:val="20"/>
        <w:tblW w:w="53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7754"/>
      </w:tblGrid>
      <w:tr w14:paraId="36DB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22" w:type="pct"/>
            <w:vAlign w:val="center"/>
          </w:tcPr>
          <w:p w14:paraId="5848B97E">
            <w:pPr>
              <w:suppressAutoHyphens/>
              <w:overflowPunct w:val="0"/>
              <w:autoSpaceDE w:val="0"/>
              <w:autoSpaceDN w:val="0"/>
              <w:adjustRightInd w:val="0"/>
              <w:textAlignment w:val="baseline"/>
              <w:rPr>
                <w:rFonts w:eastAsia="Calibri"/>
                <w:b/>
                <w:szCs w:val="24"/>
              </w:rPr>
            </w:pPr>
            <w:r>
              <w:rPr>
                <w:rFonts w:eastAsia="Calibri"/>
                <w:b/>
                <w:szCs w:val="24"/>
              </w:rPr>
              <w:t>Appel d’Offres No :</w:t>
            </w:r>
          </w:p>
        </w:tc>
        <w:tc>
          <w:tcPr>
            <w:tcW w:w="3878" w:type="pct"/>
            <w:vAlign w:val="center"/>
          </w:tcPr>
          <w:p w14:paraId="790102F7">
            <w:pPr>
              <w:suppressAutoHyphens/>
              <w:overflowPunct w:val="0"/>
              <w:autoSpaceDE w:val="0"/>
              <w:autoSpaceDN w:val="0"/>
              <w:adjustRightInd w:val="0"/>
              <w:textAlignment w:val="baseline"/>
              <w:rPr>
                <w:bCs/>
                <w:szCs w:val="24"/>
                <w:lang w:val="en-US"/>
              </w:rPr>
            </w:pPr>
            <w:r>
              <w:rPr>
                <w:bCs/>
                <w:szCs w:val="24"/>
                <w:lang w:val="en-US"/>
              </w:rPr>
              <w:t>AOI N° 001/GOODS/PISEN-174414-NIGER</w:t>
            </w:r>
          </w:p>
        </w:tc>
      </w:tr>
      <w:tr w14:paraId="48CE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22" w:type="pct"/>
            <w:vAlign w:val="center"/>
          </w:tcPr>
          <w:p w14:paraId="28BBB86F">
            <w:pPr>
              <w:suppressAutoHyphens/>
              <w:overflowPunct w:val="0"/>
              <w:autoSpaceDE w:val="0"/>
              <w:autoSpaceDN w:val="0"/>
              <w:adjustRightInd w:val="0"/>
              <w:textAlignment w:val="baseline"/>
              <w:rPr>
                <w:rFonts w:eastAsia="Calibri"/>
                <w:b/>
                <w:szCs w:val="24"/>
              </w:rPr>
            </w:pPr>
            <w:r>
              <w:rPr>
                <w:rFonts w:eastAsia="Calibri"/>
                <w:b/>
                <w:szCs w:val="24"/>
              </w:rPr>
              <w:t>Projet</w:t>
            </w:r>
          </w:p>
        </w:tc>
        <w:tc>
          <w:tcPr>
            <w:tcW w:w="3878" w:type="pct"/>
            <w:vAlign w:val="center"/>
          </w:tcPr>
          <w:p w14:paraId="449F3837">
            <w:pPr>
              <w:suppressAutoHyphens/>
              <w:overflowPunct w:val="0"/>
              <w:autoSpaceDE w:val="0"/>
              <w:autoSpaceDN w:val="0"/>
              <w:adjustRightInd w:val="0"/>
              <w:textAlignment w:val="baseline"/>
              <w:rPr>
                <w:rFonts w:eastAsia="Calibri"/>
                <w:szCs w:val="24"/>
              </w:rPr>
            </w:pPr>
            <w:r>
              <w:rPr>
                <w:bCs/>
                <w:szCs w:val="24"/>
              </w:rPr>
              <w:t>Projet de Plateforme Intégrée pour la Sécurité de l’Eau au Niger (PISEN)</w:t>
            </w:r>
          </w:p>
          <w:p w14:paraId="2B3C712B">
            <w:pPr>
              <w:suppressAutoHyphens/>
              <w:overflowPunct w:val="0"/>
              <w:autoSpaceDE w:val="0"/>
              <w:autoSpaceDN w:val="0"/>
              <w:adjustRightInd w:val="0"/>
              <w:textAlignment w:val="baseline"/>
              <w:rPr>
                <w:bCs/>
                <w:szCs w:val="24"/>
              </w:rPr>
            </w:pPr>
            <w:r>
              <w:rPr>
                <w:rFonts w:eastAsia="Calibri"/>
              </w:rPr>
              <w:t xml:space="preserve">Composante 1 : </w:t>
            </w:r>
            <w:r>
              <w:rPr>
                <w:b/>
              </w:rPr>
              <w:t>INVESTISSEMENTS INTEGRES POUR LA SECURITE DE L'EAU</w:t>
            </w:r>
            <w:r>
              <w:rPr>
                <w:rFonts w:eastAsia="Calibri"/>
                <w:b/>
              </w:rPr>
              <w:t xml:space="preserve"> </w:t>
            </w:r>
          </w:p>
        </w:tc>
      </w:tr>
      <w:tr w14:paraId="4838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22" w:type="pct"/>
            <w:vAlign w:val="center"/>
          </w:tcPr>
          <w:p w14:paraId="2F77D4CA">
            <w:pPr>
              <w:suppressAutoHyphens/>
              <w:overflowPunct w:val="0"/>
              <w:autoSpaceDE w:val="0"/>
              <w:autoSpaceDN w:val="0"/>
              <w:adjustRightInd w:val="0"/>
              <w:textAlignment w:val="baseline"/>
              <w:rPr>
                <w:rFonts w:eastAsia="Calibri"/>
                <w:b/>
                <w:szCs w:val="24"/>
              </w:rPr>
            </w:pPr>
            <w:r>
              <w:rPr>
                <w:rFonts w:eastAsia="Calibri"/>
                <w:b/>
                <w:szCs w:val="24"/>
              </w:rPr>
              <w:t xml:space="preserve">Acheteur </w:t>
            </w:r>
          </w:p>
        </w:tc>
        <w:tc>
          <w:tcPr>
            <w:tcW w:w="3878" w:type="pct"/>
            <w:vAlign w:val="center"/>
          </w:tcPr>
          <w:p w14:paraId="232B1E5B">
            <w:pPr>
              <w:suppressAutoHyphens/>
              <w:overflowPunct w:val="0"/>
              <w:autoSpaceDE w:val="0"/>
              <w:autoSpaceDN w:val="0"/>
              <w:adjustRightInd w:val="0"/>
              <w:textAlignment w:val="baseline"/>
              <w:rPr>
                <w:bCs/>
                <w:szCs w:val="24"/>
              </w:rPr>
            </w:pPr>
            <w:r>
              <w:rPr>
                <w:bCs/>
                <w:szCs w:val="24"/>
              </w:rPr>
              <w:t>Cabinet du Premier Ministre</w:t>
            </w:r>
          </w:p>
        </w:tc>
      </w:tr>
      <w:tr w14:paraId="5E81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22" w:type="pct"/>
            <w:vAlign w:val="center"/>
          </w:tcPr>
          <w:p w14:paraId="305A66BC">
            <w:pPr>
              <w:suppressAutoHyphens/>
              <w:overflowPunct w:val="0"/>
              <w:autoSpaceDE w:val="0"/>
              <w:autoSpaceDN w:val="0"/>
              <w:adjustRightInd w:val="0"/>
              <w:textAlignment w:val="baseline"/>
              <w:rPr>
                <w:rFonts w:eastAsia="Calibri"/>
                <w:b/>
                <w:szCs w:val="24"/>
              </w:rPr>
            </w:pPr>
            <w:r>
              <w:rPr>
                <w:rFonts w:eastAsia="Calibri"/>
                <w:b/>
                <w:szCs w:val="24"/>
              </w:rPr>
              <w:t>Pays</w:t>
            </w:r>
          </w:p>
        </w:tc>
        <w:tc>
          <w:tcPr>
            <w:tcW w:w="3878" w:type="pct"/>
            <w:vAlign w:val="center"/>
          </w:tcPr>
          <w:p w14:paraId="17241689">
            <w:pPr>
              <w:suppressAutoHyphens/>
              <w:overflowPunct w:val="0"/>
              <w:autoSpaceDE w:val="0"/>
              <w:autoSpaceDN w:val="0"/>
              <w:adjustRightInd w:val="0"/>
              <w:textAlignment w:val="baseline"/>
              <w:rPr>
                <w:bCs/>
                <w:szCs w:val="24"/>
              </w:rPr>
            </w:pPr>
            <w:r>
              <w:rPr>
                <w:bCs/>
                <w:szCs w:val="24"/>
              </w:rPr>
              <w:t>République du Niger</w:t>
            </w:r>
          </w:p>
        </w:tc>
      </w:tr>
      <w:tr w14:paraId="3ADD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22" w:type="pct"/>
            <w:vAlign w:val="center"/>
          </w:tcPr>
          <w:p w14:paraId="21F06FDC">
            <w:pPr>
              <w:suppressAutoHyphens/>
              <w:overflowPunct w:val="0"/>
              <w:autoSpaceDE w:val="0"/>
              <w:autoSpaceDN w:val="0"/>
              <w:adjustRightInd w:val="0"/>
              <w:textAlignment w:val="baseline"/>
              <w:rPr>
                <w:rFonts w:eastAsia="Calibri"/>
                <w:b/>
                <w:szCs w:val="24"/>
              </w:rPr>
            </w:pPr>
            <w:r>
              <w:rPr>
                <w:rFonts w:eastAsia="Calibri"/>
                <w:b/>
                <w:szCs w:val="24"/>
              </w:rPr>
              <w:t>Intitulé du Marché</w:t>
            </w:r>
          </w:p>
        </w:tc>
        <w:tc>
          <w:tcPr>
            <w:tcW w:w="3878" w:type="pct"/>
            <w:vAlign w:val="center"/>
          </w:tcPr>
          <w:p w14:paraId="1FFFFEC6">
            <w:pPr>
              <w:rPr>
                <w:bCs/>
                <w:i/>
                <w:iCs/>
              </w:rPr>
            </w:pPr>
            <w:r>
              <w:t>Acquisition installation et formation des</w:t>
            </w:r>
            <w:r>
              <w:rPr>
                <w:bCs/>
                <w:i/>
                <w:iCs/>
              </w:rPr>
              <w:t xml:space="preserve"> </w:t>
            </w:r>
            <w:r>
              <w:t>équipements de stations météorologiques, hydrométriques et piézométriques pour le suivi des ressources en eau de 10 sous-bassins du NIGER</w:t>
            </w:r>
          </w:p>
        </w:tc>
      </w:tr>
      <w:tr w14:paraId="7092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122" w:type="pct"/>
            <w:vAlign w:val="center"/>
          </w:tcPr>
          <w:p w14:paraId="681EAA69">
            <w:pPr>
              <w:suppressAutoHyphens/>
              <w:overflowPunct w:val="0"/>
              <w:autoSpaceDE w:val="0"/>
              <w:autoSpaceDN w:val="0"/>
              <w:adjustRightInd w:val="0"/>
              <w:textAlignment w:val="baseline"/>
              <w:rPr>
                <w:rFonts w:eastAsia="Calibri"/>
                <w:b/>
                <w:szCs w:val="24"/>
              </w:rPr>
            </w:pPr>
            <w:r>
              <w:rPr>
                <w:rFonts w:eastAsia="Calibri"/>
                <w:b/>
                <w:szCs w:val="24"/>
              </w:rPr>
              <w:t>Crédit/don No :</w:t>
            </w:r>
          </w:p>
        </w:tc>
        <w:tc>
          <w:tcPr>
            <w:tcW w:w="3878" w:type="pct"/>
            <w:vAlign w:val="center"/>
          </w:tcPr>
          <w:p w14:paraId="7B7C749A">
            <w:pPr>
              <w:suppressAutoHyphens/>
              <w:overflowPunct w:val="0"/>
              <w:autoSpaceDE w:val="0"/>
              <w:autoSpaceDN w:val="0"/>
              <w:adjustRightInd w:val="0"/>
              <w:textAlignment w:val="baseline"/>
              <w:rPr>
                <w:szCs w:val="24"/>
                <w:lang w:eastAsia="zh-CN"/>
              </w:rPr>
            </w:pPr>
            <w:r>
              <w:rPr>
                <w:szCs w:val="24"/>
              </w:rPr>
              <w:t xml:space="preserve">6990NE – 6991NE - </w:t>
            </w:r>
            <w:r>
              <w:rPr>
                <w:spacing w:val="-3"/>
                <w:szCs w:val="24"/>
              </w:rPr>
              <w:t>D908NE</w:t>
            </w:r>
          </w:p>
        </w:tc>
      </w:tr>
      <w:tr w14:paraId="79C2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pct"/>
            <w:vAlign w:val="center"/>
          </w:tcPr>
          <w:p w14:paraId="3580AFF8">
            <w:pPr>
              <w:suppressAutoHyphens/>
              <w:overflowPunct w:val="0"/>
              <w:autoSpaceDE w:val="0"/>
              <w:autoSpaceDN w:val="0"/>
              <w:adjustRightInd w:val="0"/>
              <w:textAlignment w:val="baseline"/>
              <w:rPr>
                <w:rFonts w:eastAsia="Calibri"/>
                <w:b/>
                <w:szCs w:val="24"/>
              </w:rPr>
            </w:pPr>
            <w:r>
              <w:rPr>
                <w:rFonts w:eastAsia="Calibri"/>
                <w:b/>
                <w:szCs w:val="24"/>
              </w:rPr>
              <w:t>Émis-le</w:t>
            </w:r>
          </w:p>
        </w:tc>
        <w:tc>
          <w:tcPr>
            <w:tcW w:w="3878" w:type="pct"/>
            <w:vAlign w:val="center"/>
          </w:tcPr>
          <w:p w14:paraId="24EB810E">
            <w:pPr>
              <w:suppressAutoHyphens/>
              <w:overflowPunct w:val="0"/>
              <w:autoSpaceDE w:val="0"/>
              <w:autoSpaceDN w:val="0"/>
              <w:adjustRightInd w:val="0"/>
              <w:textAlignment w:val="baseline"/>
              <w:rPr>
                <w:rFonts w:eastAsia="Calibri"/>
                <w:b/>
                <w:bCs/>
                <w:szCs w:val="24"/>
                <w:highlight w:val="yellow"/>
              </w:rPr>
            </w:pPr>
            <w:r>
              <w:rPr>
                <w:rFonts w:eastAsia="Calibri"/>
                <w:b/>
                <w:bCs/>
                <w:szCs w:val="24"/>
              </w:rPr>
              <w:t>13/07/2026</w:t>
            </w:r>
          </w:p>
        </w:tc>
      </w:tr>
    </w:tbl>
    <w:p w14:paraId="403CB974">
      <w:pPr>
        <w:jc w:val="center"/>
        <w:rPr>
          <w:b/>
          <w:bCs/>
        </w:rPr>
      </w:pPr>
    </w:p>
    <w:p w14:paraId="74A36B22">
      <w:pPr>
        <w:numPr>
          <w:ilvl w:val="0"/>
          <w:numId w:val="1"/>
        </w:numPr>
        <w:tabs>
          <w:tab w:val="left" w:pos="284"/>
          <w:tab w:val="clear" w:pos="720"/>
        </w:tabs>
        <w:spacing w:after="200"/>
        <w:ind w:left="0" w:firstLine="0"/>
        <w:jc w:val="both"/>
      </w:pPr>
      <w:r>
        <w:t xml:space="preserve">Le </w:t>
      </w:r>
      <w:r>
        <w:rPr>
          <w:spacing w:val="-3"/>
          <w:szCs w:val="24"/>
        </w:rPr>
        <w:t xml:space="preserve">Gouvernement de la République du Niger </w:t>
      </w:r>
      <w:r>
        <w:rPr>
          <w:i/>
          <w:iCs/>
        </w:rPr>
        <w:t>a reçu</w:t>
      </w:r>
      <w:r>
        <w:t xml:space="preserve"> un financement de la Banque mondiale pour financer</w:t>
      </w:r>
      <w:r>
        <w:rPr>
          <w:i/>
          <w:iCs/>
        </w:rPr>
        <w:t xml:space="preserve"> </w:t>
      </w:r>
      <w:r>
        <w:t xml:space="preserve">le </w:t>
      </w:r>
      <w:r>
        <w:rPr>
          <w:bCs/>
        </w:rPr>
        <w:t>Projet de Plateforme pour la Sécurité de l’Eau au Niger (PISEN)</w:t>
      </w:r>
      <w:r>
        <w:t xml:space="preserve">, et à l’intention d’utiliser une partie de ce financement pour effectuer des paiements au titre du Marché </w:t>
      </w:r>
      <w:r>
        <w:rPr>
          <w:b/>
          <w:bCs/>
        </w:rPr>
        <w:t>Acquisition installation et formation des</w:t>
      </w:r>
      <w:r>
        <w:rPr>
          <w:b/>
          <w:bCs/>
          <w:i/>
          <w:iCs/>
        </w:rPr>
        <w:t xml:space="preserve"> </w:t>
      </w:r>
      <w:r>
        <w:rPr>
          <w:b/>
          <w:bCs/>
        </w:rPr>
        <w:t>équipements de stations météorologiques, hydrométriques et piézométriques pour le suivi des ressources en eau de 10 sous-bassins du NIGER</w:t>
      </w:r>
      <w:r>
        <w:rPr>
          <w:i/>
          <w:iCs/>
        </w:rPr>
        <w:t xml:space="preserve">. </w:t>
      </w:r>
    </w:p>
    <w:p w14:paraId="3C51E8F2">
      <w:pPr>
        <w:numPr>
          <w:ilvl w:val="0"/>
          <w:numId w:val="1"/>
        </w:numPr>
        <w:tabs>
          <w:tab w:val="left" w:pos="284"/>
          <w:tab w:val="clear" w:pos="720"/>
        </w:tabs>
        <w:spacing w:after="200"/>
        <w:ind w:left="0" w:firstLine="0"/>
        <w:jc w:val="both"/>
      </w:pPr>
      <w:r>
        <w:t xml:space="preserve">Le </w:t>
      </w:r>
      <w:r>
        <w:rPr>
          <w:bCs/>
        </w:rPr>
        <w:t>Projet de Plateforme pour la Sécurité de l’Eau au Niger</w:t>
      </w:r>
      <w:r>
        <w:t xml:space="preserve"> sollicite des offres fermées de la part de soumissionnaires éligibles et répondant aux qualifications requises pour l’acquisition installation et formation des Equipements de stations météorologiques, hydrométriques et piézométriques pour le suivi des ressources en eau de 10 sous-bassins du NIGER. </w:t>
      </w:r>
      <w:r>
        <w:rPr>
          <w:rFonts w:eastAsia="Calibri"/>
          <w:szCs w:val="24"/>
          <w:lang w:eastAsia="en-US"/>
        </w:rPr>
        <w:t>La marge de préférence n’est pas applicable. Les acquisitions sont réparties en trois (03) lots comme suit :</w:t>
      </w:r>
    </w:p>
    <w:p w14:paraId="2D624D7A">
      <w:pPr>
        <w:pStyle w:val="34"/>
        <w:numPr>
          <w:ilvl w:val="0"/>
          <w:numId w:val="2"/>
        </w:numPr>
        <w:suppressAutoHyphens/>
        <w:overflowPunct w:val="0"/>
        <w:autoSpaceDE w:val="0"/>
        <w:autoSpaceDN w:val="0"/>
        <w:adjustRightInd w:val="0"/>
        <w:spacing w:after="200"/>
        <w:jc w:val="both"/>
        <w:textAlignment w:val="baseline"/>
        <w:rPr>
          <w:b/>
          <w:bCs/>
        </w:rPr>
      </w:pPr>
      <w:r>
        <w:rPr>
          <w:b/>
          <w:bCs/>
          <w:u w:val="single"/>
        </w:rPr>
        <w:t>Lot N° 1</w:t>
      </w:r>
      <w:r>
        <w:rPr>
          <w:b/>
          <w:bCs/>
        </w:rPr>
        <w:t xml:space="preserve"> : </w:t>
      </w:r>
      <w:bookmarkStart w:id="0" w:name="_Hlk210298315"/>
      <w:r>
        <w:rPr>
          <w:b/>
          <w:bCs/>
        </w:rPr>
        <w:t>Acquisition et installation des équipements de 33 stations météorologiques dans les 7 régions et renforcement de capacité du personnel technique</w:t>
      </w:r>
      <w:bookmarkEnd w:id="0"/>
    </w:p>
    <w:p w14:paraId="2F4318B0">
      <w:pPr>
        <w:pStyle w:val="34"/>
        <w:spacing w:after="200"/>
        <w:rPr>
          <w:b/>
          <w:bCs/>
          <w:sz w:val="10"/>
          <w:szCs w:val="6"/>
        </w:rPr>
      </w:pPr>
    </w:p>
    <w:p w14:paraId="3C16E9D6">
      <w:pPr>
        <w:pStyle w:val="34"/>
        <w:numPr>
          <w:ilvl w:val="0"/>
          <w:numId w:val="2"/>
        </w:numPr>
        <w:suppressAutoHyphens/>
        <w:overflowPunct w:val="0"/>
        <w:autoSpaceDE w:val="0"/>
        <w:autoSpaceDN w:val="0"/>
        <w:adjustRightInd w:val="0"/>
        <w:spacing w:after="200"/>
        <w:jc w:val="both"/>
        <w:textAlignment w:val="baseline"/>
        <w:rPr>
          <w:b/>
          <w:bCs/>
        </w:rPr>
      </w:pPr>
      <w:r>
        <w:rPr>
          <w:b/>
          <w:bCs/>
          <w:u w:val="single"/>
        </w:rPr>
        <w:t>Lot N° 2</w:t>
      </w:r>
      <w:r>
        <w:rPr>
          <w:b/>
          <w:bCs/>
        </w:rPr>
        <w:t xml:space="preserve"> : </w:t>
      </w:r>
      <w:bookmarkStart w:id="1" w:name="_Hlk210298329"/>
      <w:r>
        <w:rPr>
          <w:b/>
          <w:bCs/>
        </w:rPr>
        <w:t>Acquisition et installation des équipements de 33 stations hydrométriques dans les 7 régions et renforcement de capacité du personnel technique</w:t>
      </w:r>
      <w:bookmarkEnd w:id="1"/>
    </w:p>
    <w:p w14:paraId="56157EAC">
      <w:pPr>
        <w:pStyle w:val="34"/>
        <w:rPr>
          <w:b/>
          <w:bCs/>
          <w:sz w:val="10"/>
          <w:szCs w:val="6"/>
        </w:rPr>
      </w:pPr>
    </w:p>
    <w:p w14:paraId="11A974B6">
      <w:pPr>
        <w:pStyle w:val="34"/>
        <w:numPr>
          <w:ilvl w:val="0"/>
          <w:numId w:val="2"/>
        </w:numPr>
        <w:suppressAutoHyphens/>
        <w:overflowPunct w:val="0"/>
        <w:autoSpaceDE w:val="0"/>
        <w:autoSpaceDN w:val="0"/>
        <w:adjustRightInd w:val="0"/>
        <w:spacing w:after="200"/>
        <w:jc w:val="both"/>
        <w:textAlignment w:val="baseline"/>
      </w:pPr>
      <w:r>
        <w:rPr>
          <w:b/>
          <w:bCs/>
          <w:u w:val="single"/>
        </w:rPr>
        <w:t>Lot N° 3</w:t>
      </w:r>
      <w:r>
        <w:rPr>
          <w:b/>
          <w:bCs/>
        </w:rPr>
        <w:t xml:space="preserve"> : </w:t>
      </w:r>
      <w:bookmarkStart w:id="2" w:name="_Hlk210298342"/>
      <w:r>
        <w:rPr>
          <w:b/>
          <w:bCs/>
        </w:rPr>
        <w:t>Acquisition et installation de 170 data-loggers (enregistreurs automatiques), sondes piézométriques et pH mètres pour stations piézométriques (pour l’équipement de piézomètres) et renforcement de capacité</w:t>
      </w:r>
      <w:bookmarkEnd w:id="2"/>
      <w:r>
        <w:t xml:space="preserve">. </w:t>
      </w:r>
    </w:p>
    <w:p w14:paraId="2CEF36FF">
      <w:pPr>
        <w:numPr>
          <w:ilvl w:val="0"/>
          <w:numId w:val="1"/>
        </w:numPr>
        <w:tabs>
          <w:tab w:val="left" w:pos="284"/>
          <w:tab w:val="clear" w:pos="720"/>
        </w:tabs>
        <w:spacing w:after="200"/>
        <w:ind w:left="0" w:firstLine="0"/>
        <w:jc w:val="both"/>
      </w:pPr>
      <w:r>
        <w:t>La passation du Marché sera conduite par Mise en Concurrence internationale (AOI) tel que défini dans le « Règlement de Passation des Marchés pour les Emprunteurs sollicitant le Financement de Projets d’Investissement » de la Banque (Règlement de Passation des Marchés de février 2025)</w:t>
      </w:r>
      <w:r>
        <w:rPr>
          <w:i/>
          <w:iCs/>
        </w:rPr>
        <w:t>,</w:t>
      </w:r>
      <w:r>
        <w:t xml:space="preserve"> et ouvert à tous les soumissionnaires de pays éligibles tels que définis dans ledit Règlement. </w:t>
      </w:r>
    </w:p>
    <w:p w14:paraId="701D960C">
      <w:pPr>
        <w:numPr>
          <w:ilvl w:val="0"/>
          <w:numId w:val="1"/>
        </w:numPr>
        <w:tabs>
          <w:tab w:val="left" w:pos="284"/>
          <w:tab w:val="clear" w:pos="720"/>
        </w:tabs>
        <w:spacing w:after="200"/>
        <w:ind w:left="0" w:firstLine="0"/>
        <w:jc w:val="both"/>
        <w:rPr>
          <w:color w:val="EE0000"/>
          <w:spacing w:val="-3"/>
        </w:rPr>
      </w:pPr>
      <w:r>
        <w:rPr>
          <w:spacing w:val="-3"/>
        </w:rPr>
        <w:t xml:space="preserve">Les Offres seront évaluées conformément au processus d'évaluation défini dans le dossier d'appel d'offres. Les pondérations suivantes s'appliqueront aux Critères notés (y compris les facteurs techniques et autres que le prix) </w:t>
      </w:r>
      <w:r>
        <w:rPr>
          <w:b/>
          <w:bCs/>
          <w:spacing w:val="-3"/>
        </w:rPr>
        <w:t xml:space="preserve">: </w:t>
      </w:r>
      <w:r>
        <w:rPr>
          <w:b/>
          <w:bCs/>
          <w:spacing w:val="-3"/>
          <w:szCs w:val="24"/>
        </w:rPr>
        <w:t xml:space="preserve">50% </w:t>
      </w:r>
      <w:r>
        <w:rPr>
          <w:spacing w:val="-3"/>
          <w:szCs w:val="24"/>
        </w:rPr>
        <w:t xml:space="preserve">et pour le coût de l'Offre </w:t>
      </w:r>
      <w:r>
        <w:rPr>
          <w:b/>
          <w:bCs/>
          <w:spacing w:val="-3"/>
          <w:szCs w:val="24"/>
        </w:rPr>
        <w:t>: 50%</w:t>
      </w:r>
      <w:r>
        <w:rPr>
          <w:b/>
          <w:bCs/>
          <w:color w:val="000000"/>
          <w:spacing w:val="-3"/>
          <w:szCs w:val="24"/>
        </w:rPr>
        <w:t>.</w:t>
      </w:r>
    </w:p>
    <w:p w14:paraId="3A123A27">
      <w:pPr>
        <w:numPr>
          <w:ilvl w:val="0"/>
          <w:numId w:val="1"/>
        </w:numPr>
        <w:tabs>
          <w:tab w:val="left" w:pos="284"/>
          <w:tab w:val="clear" w:pos="720"/>
        </w:tabs>
        <w:spacing w:after="200"/>
        <w:ind w:left="0" w:firstLine="0"/>
        <w:jc w:val="both"/>
      </w:pPr>
      <w:r>
        <w:t xml:space="preserve">Les soumissionnaires éligibles et intéressés peuvent obtenir des informations auprès de </w:t>
      </w:r>
      <w:r>
        <w:rPr>
          <w:rFonts w:eastAsia="Calibri"/>
          <w:szCs w:val="24"/>
          <w:lang w:eastAsia="en-US"/>
        </w:rPr>
        <w:t>l’UGP-PISEN</w:t>
      </w:r>
      <w:r>
        <w:t xml:space="preserve"> et prendre connaissance des documents de l’Appel d’offres durant les heures de bureau </w:t>
      </w:r>
      <w:r>
        <w:rPr>
          <w:rFonts w:eastAsia="Calibri"/>
          <w:b/>
          <w:iCs/>
          <w:szCs w:val="24"/>
          <w:lang w:eastAsia="en-US"/>
        </w:rPr>
        <w:t>du lundi au jeudi de 8 h 00 à 17 h 00, et les vendredis de 8 h 00 à 12 h 00 (Heure locale = GMT + 1</w:t>
      </w:r>
      <w:r>
        <w:rPr>
          <w:rFonts w:eastAsia="Calibri"/>
          <w:bCs/>
          <w:iCs/>
          <w:szCs w:val="24"/>
          <w:lang w:eastAsia="en-US"/>
        </w:rPr>
        <w:t xml:space="preserve">) </w:t>
      </w:r>
      <w:r>
        <w:t>à l’adresse</w:t>
      </w:r>
      <w:r>
        <w:rPr>
          <w:i/>
          <w:iCs/>
        </w:rPr>
        <w:t xml:space="preserve"> </w:t>
      </w:r>
      <w:r>
        <w:t>mentionnée ci-dessous.</w:t>
      </w:r>
    </w:p>
    <w:p w14:paraId="684DC44E">
      <w:pPr>
        <w:numPr>
          <w:ilvl w:val="0"/>
          <w:numId w:val="1"/>
        </w:numPr>
        <w:tabs>
          <w:tab w:val="left" w:pos="426"/>
          <w:tab w:val="clear" w:pos="720"/>
        </w:tabs>
        <w:ind w:left="0" w:firstLine="0"/>
        <w:jc w:val="both"/>
        <w:rPr>
          <w:rFonts w:eastAsia="Calibri"/>
          <w:szCs w:val="24"/>
          <w:lang w:eastAsia="en-US"/>
        </w:rPr>
      </w:pPr>
      <w:r>
        <w:t xml:space="preserve">Les Soumissionnaires intéressés et éligibles peuvent obtenir un dossier d’appel d’offres complet en Français en formulant une demande écrite à l’adresse mentionnée ci-dessous et contre un paiement non remboursable de </w:t>
      </w:r>
      <w:r>
        <w:rPr>
          <w:rFonts w:eastAsia="Calibri"/>
          <w:b/>
          <w:bCs/>
          <w:szCs w:val="24"/>
          <w:lang w:eastAsia="en-US"/>
        </w:rPr>
        <w:t>cent cinquante mille (150 000) francs CFA</w:t>
      </w:r>
      <w:r>
        <w:rPr>
          <w:i/>
          <w:iCs/>
        </w:rPr>
        <w:t>.</w:t>
      </w:r>
      <w:r>
        <w:t xml:space="preserve"> Le paiement se </w:t>
      </w:r>
      <w:r>
        <w:rPr>
          <w:rFonts w:eastAsia="Calibri"/>
          <w:bCs/>
          <w:szCs w:val="24"/>
          <w:lang w:eastAsia="en-US"/>
        </w:rPr>
        <w:t xml:space="preserve">fera par virement bancaire sur le compte bancaire ci-après et le retrait du dossier se fera auprès de l’Unité de Gestion du </w:t>
      </w:r>
      <w:r>
        <w:rPr>
          <w:bCs/>
          <w:szCs w:val="24"/>
        </w:rPr>
        <w:t>Projet de Plateforme Intégrée pour la Sécurité de l’Eau au Niger (PISEN)</w:t>
      </w:r>
      <w:r>
        <w:rPr>
          <w:rFonts w:eastAsia="Calibri"/>
          <w:bCs/>
          <w:szCs w:val="24"/>
          <w:lang w:eastAsia="en-US"/>
        </w:rPr>
        <w:t>, sur présentation de la quittance de versement du montant d’achat du DAO.</w:t>
      </w:r>
    </w:p>
    <w:p w14:paraId="0A70D1E2">
      <w:pPr>
        <w:ind w:left="360"/>
        <w:rPr>
          <w:rFonts w:eastAsia="Calibri"/>
          <w:sz w:val="16"/>
          <w:szCs w:val="16"/>
          <w:lang w:eastAsia="en-US"/>
        </w:rPr>
      </w:pPr>
    </w:p>
    <w:p w14:paraId="25309402">
      <w:pPr>
        <w:rPr>
          <w:rFonts w:eastAsia="Calibri"/>
          <w:szCs w:val="24"/>
          <w:lang w:eastAsia="en-US"/>
        </w:rPr>
      </w:pPr>
      <w:r>
        <w:rPr>
          <w:rFonts w:eastAsia="Calibri"/>
          <w:bCs/>
          <w:szCs w:val="24"/>
          <w:u w:val="single"/>
          <w:lang w:eastAsia="en-US"/>
        </w:rPr>
        <w:t>Les intitulés de compte bancaire</w:t>
      </w:r>
      <w:r>
        <w:rPr>
          <w:rFonts w:eastAsia="Calibri"/>
          <w:bCs/>
          <w:szCs w:val="24"/>
          <w:lang w:eastAsia="en-US"/>
        </w:rPr>
        <w:t> :</w:t>
      </w:r>
    </w:p>
    <w:p w14:paraId="59D9B0AF">
      <w:pPr>
        <w:ind w:left="360"/>
        <w:rPr>
          <w:sz w:val="12"/>
          <w:szCs w:val="12"/>
          <w:lang w:eastAsia="en-US"/>
        </w:rPr>
      </w:pPr>
    </w:p>
    <w:p w14:paraId="53AAE073">
      <w:pPr>
        <w:rPr>
          <w:rFonts w:eastAsia="Calibri"/>
          <w:szCs w:val="24"/>
          <w:lang w:eastAsia="en-US"/>
        </w:rPr>
      </w:pPr>
      <w:r>
        <w:rPr>
          <w:szCs w:val="24"/>
          <w:lang w:eastAsia="en-US"/>
        </w:rPr>
        <w:t>Code Banque : NE064</w:t>
      </w:r>
    </w:p>
    <w:p w14:paraId="5D717FCE">
      <w:pPr>
        <w:rPr>
          <w:rFonts w:eastAsia="Calibri"/>
          <w:szCs w:val="24"/>
          <w:lang w:eastAsia="en-US"/>
        </w:rPr>
      </w:pPr>
      <w:r>
        <w:rPr>
          <w:szCs w:val="24"/>
          <w:lang w:eastAsia="en-US"/>
        </w:rPr>
        <w:t>Code Guichet : 01001</w:t>
      </w:r>
    </w:p>
    <w:p w14:paraId="6640EE7B">
      <w:pPr>
        <w:rPr>
          <w:rFonts w:eastAsia="Calibri"/>
          <w:szCs w:val="24"/>
          <w:lang w:eastAsia="en-US"/>
        </w:rPr>
      </w:pPr>
      <w:r>
        <w:rPr>
          <w:szCs w:val="24"/>
          <w:lang w:eastAsia="en-US"/>
        </w:rPr>
        <w:t xml:space="preserve">Numéro de compte : 25112486425 </w:t>
      </w:r>
    </w:p>
    <w:p w14:paraId="6409CD0F">
      <w:pPr>
        <w:rPr>
          <w:rFonts w:eastAsia="Calibri"/>
          <w:szCs w:val="24"/>
          <w:lang w:eastAsia="en-US"/>
        </w:rPr>
      </w:pPr>
      <w:r>
        <w:rPr>
          <w:szCs w:val="24"/>
          <w:lang w:eastAsia="en-US"/>
        </w:rPr>
        <w:t>Clé : 76</w:t>
      </w:r>
    </w:p>
    <w:p w14:paraId="670C9343">
      <w:pPr>
        <w:rPr>
          <w:rFonts w:eastAsia="Calibri"/>
          <w:szCs w:val="24"/>
          <w:lang w:eastAsia="en-US"/>
        </w:rPr>
      </w:pPr>
      <w:r>
        <w:rPr>
          <w:szCs w:val="24"/>
          <w:lang w:eastAsia="en-US"/>
        </w:rPr>
        <w:t>Nom de la banque : SONIBANK</w:t>
      </w:r>
    </w:p>
    <w:p w14:paraId="687A50DF">
      <w:pPr>
        <w:rPr>
          <w:b/>
          <w:bCs/>
          <w:szCs w:val="24"/>
          <w:lang w:eastAsia="en-US"/>
        </w:rPr>
      </w:pPr>
      <w:r>
        <w:rPr>
          <w:szCs w:val="24"/>
          <w:lang w:eastAsia="en-US"/>
        </w:rPr>
        <w:t>Nom du bénéficiaire : PROJET DE PLATEFORME INTEGREE POUR LA SECURITE DE L’EAU AU NIGER</w:t>
      </w:r>
    </w:p>
    <w:p w14:paraId="377D6B8E">
      <w:pPr>
        <w:ind w:left="360"/>
        <w:rPr>
          <w:b/>
          <w:bCs/>
          <w:szCs w:val="24"/>
          <w:lang w:eastAsia="en-US"/>
        </w:rPr>
      </w:pPr>
    </w:p>
    <w:p w14:paraId="6193F9AE">
      <w:pPr>
        <w:numPr>
          <w:ilvl w:val="0"/>
          <w:numId w:val="1"/>
        </w:numPr>
        <w:tabs>
          <w:tab w:val="left" w:pos="284"/>
          <w:tab w:val="clear" w:pos="720"/>
        </w:tabs>
        <w:spacing w:after="200"/>
        <w:ind w:left="0" w:firstLine="0"/>
        <w:jc w:val="both"/>
      </w:pPr>
      <w:r>
        <w:t>Les offres devront être soumises à l’adresse ci-dessous</w:t>
      </w:r>
      <w:r>
        <w:rPr>
          <w:i/>
          <w:iCs/>
        </w:rPr>
        <w:t xml:space="preserve"> </w:t>
      </w:r>
      <w:r>
        <w:t xml:space="preserve">au plus tard le lundi </w:t>
      </w:r>
      <w:r>
        <w:rPr>
          <w:b/>
          <w:bCs/>
        </w:rPr>
        <w:t>27 août</w:t>
      </w:r>
      <w:r>
        <w:t xml:space="preserve"> </w:t>
      </w:r>
      <w:r>
        <w:rPr>
          <w:b/>
          <w:bCs/>
        </w:rPr>
        <w:t>2</w:t>
      </w:r>
      <w:r>
        <w:rPr>
          <w:rFonts w:eastAsia="Calibri"/>
          <w:b/>
          <w:bCs/>
          <w:szCs w:val="24"/>
          <w:lang w:eastAsia="en-US"/>
        </w:rPr>
        <w:t>026</w:t>
      </w:r>
      <w:r>
        <w:rPr>
          <w:rFonts w:eastAsia="Calibri"/>
          <w:b/>
          <w:iCs/>
          <w:szCs w:val="24"/>
          <w:lang w:eastAsia="en-US"/>
        </w:rPr>
        <w:t xml:space="preserve"> à 10h00 (Heure locale = GMT + 1)</w:t>
      </w:r>
      <w:r>
        <w:t>. La soumission des offres par voie électronique n’est pas</w:t>
      </w:r>
      <w:r>
        <w:rPr>
          <w:i/>
          <w:iCs/>
        </w:rPr>
        <w:t xml:space="preserve"> </w:t>
      </w:r>
      <w:r>
        <w:t xml:space="preserve">autorisée. Les offres remises en retard ne seront pas acceptées. Les enveloppes extérieures des Offres marquées « OFFRE ORIGINALE », et les enveloppes intérieures marquées « PARTIE TECHNIQUE » seront ouvertes publiquement en présence des représentants des Soumissionnaires et de toute personne choisissant d’être présente à l’adresse mentionnée ci-dessous à </w:t>
      </w:r>
      <w:r>
        <w:rPr>
          <w:rFonts w:eastAsia="Calibri"/>
          <w:b/>
          <w:bCs/>
          <w:szCs w:val="24"/>
          <w:lang w:eastAsia="en-US"/>
        </w:rPr>
        <w:t xml:space="preserve">le </w:t>
      </w:r>
      <w:r>
        <w:rPr>
          <w:b/>
          <w:bCs/>
        </w:rPr>
        <w:t>27 août</w:t>
      </w:r>
      <w:r>
        <w:rPr>
          <w:rFonts w:eastAsia="Calibri"/>
          <w:b/>
          <w:bCs/>
          <w:szCs w:val="24"/>
          <w:lang w:eastAsia="en-US"/>
        </w:rPr>
        <w:t xml:space="preserve"> 2026 à 10h30 (Heure locale = GMT + 1)</w:t>
      </w:r>
      <w:r>
        <w:rPr>
          <w:i/>
          <w:iCs/>
        </w:rPr>
        <w:t>.</w:t>
      </w:r>
      <w:r>
        <w:t xml:space="preserve"> Toutes les enveloppes arquées « PARTIE FINANCIERE DEUXIEME ENVELOPPE » devront rester non ouvertes et seront conservées en un lieu sûr par l’Acheteur jusqu’à la deuxième ouverture publique. </w:t>
      </w:r>
    </w:p>
    <w:p w14:paraId="04DE72EA">
      <w:pPr>
        <w:pStyle w:val="34"/>
        <w:numPr>
          <w:ilvl w:val="0"/>
          <w:numId w:val="1"/>
        </w:numPr>
        <w:tabs>
          <w:tab w:val="left" w:pos="284"/>
          <w:tab w:val="clear" w:pos="720"/>
        </w:tabs>
        <w:suppressAutoHyphens/>
        <w:overflowPunct w:val="0"/>
        <w:autoSpaceDE w:val="0"/>
        <w:autoSpaceDN w:val="0"/>
        <w:adjustRightInd w:val="0"/>
        <w:ind w:left="0" w:firstLine="0"/>
        <w:jc w:val="both"/>
        <w:textAlignment w:val="baseline"/>
        <w:rPr>
          <w:rFonts w:eastAsia="Calibri"/>
          <w:szCs w:val="24"/>
          <w:lang w:eastAsia="en-US"/>
        </w:rPr>
      </w:pPr>
      <w:r>
        <w:rPr>
          <w:szCs w:val="24"/>
        </w:rPr>
        <w:t xml:space="preserve">Les offres doivent être accompagnées </w:t>
      </w:r>
      <w:r>
        <w:rPr>
          <w:b/>
          <w:bCs/>
          <w:szCs w:val="24"/>
        </w:rPr>
        <w:t>d’une Déclaration de garantie de l’offre</w:t>
      </w:r>
      <w:r>
        <w:rPr>
          <w:rFonts w:eastAsia="Calibri"/>
          <w:szCs w:val="24"/>
          <w:lang w:eastAsia="en-US"/>
        </w:rPr>
        <w:t>.</w:t>
      </w:r>
    </w:p>
    <w:p w14:paraId="755FF81E">
      <w:pPr>
        <w:pStyle w:val="34"/>
        <w:tabs>
          <w:tab w:val="left" w:pos="0"/>
        </w:tabs>
        <w:spacing w:before="240" w:after="240"/>
        <w:ind w:left="0"/>
        <w:rPr>
          <w:spacing w:val="-2"/>
          <w:sz w:val="20"/>
        </w:rPr>
      </w:pPr>
      <w:bookmarkStart w:id="3" w:name="_Hlk100069864"/>
    </w:p>
    <w:p w14:paraId="7DBE94B3">
      <w:pPr>
        <w:pStyle w:val="34"/>
        <w:numPr>
          <w:ilvl w:val="0"/>
          <w:numId w:val="1"/>
        </w:numPr>
        <w:tabs>
          <w:tab w:val="left" w:pos="284"/>
          <w:tab w:val="clear" w:pos="720"/>
        </w:tabs>
        <w:suppressAutoHyphens/>
        <w:overflowPunct w:val="0"/>
        <w:autoSpaceDE w:val="0"/>
        <w:autoSpaceDN w:val="0"/>
        <w:adjustRightInd w:val="0"/>
        <w:spacing w:before="240" w:after="240"/>
        <w:ind w:left="0" w:firstLine="0"/>
        <w:jc w:val="both"/>
        <w:textAlignment w:val="baseline"/>
        <w:rPr>
          <w:spacing w:val="-2"/>
          <w:szCs w:val="24"/>
        </w:rPr>
      </w:pPr>
      <w:r>
        <w:rPr>
          <w:spacing w:val="-2"/>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bookmarkEnd w:id="3"/>
    <w:p w14:paraId="135B9655">
      <w:pPr>
        <w:numPr>
          <w:ilvl w:val="0"/>
          <w:numId w:val="1"/>
        </w:numPr>
        <w:tabs>
          <w:tab w:val="left" w:pos="426"/>
          <w:tab w:val="clear" w:pos="720"/>
        </w:tabs>
        <w:spacing w:after="200"/>
        <w:ind w:left="0" w:firstLine="0"/>
        <w:jc w:val="both"/>
        <w:rPr>
          <w:b/>
          <w:bCs/>
          <w:i/>
          <w:iCs/>
        </w:rPr>
      </w:pPr>
      <w:r>
        <w:t xml:space="preserve">Les adresses auxquelles il est fait référence ci-dessus sont : </w:t>
      </w:r>
    </w:p>
    <w:p w14:paraId="3BA305BC">
      <w:pPr>
        <w:pStyle w:val="34"/>
        <w:spacing w:before="120" w:after="120"/>
        <w:ind w:left="0"/>
        <w:rPr>
          <w:b/>
          <w:bCs/>
          <w:szCs w:val="24"/>
        </w:rPr>
      </w:pPr>
      <w:r>
        <w:rPr>
          <w:b/>
          <w:bCs/>
          <w:szCs w:val="24"/>
          <w:lang w:eastAsia="zh-CN"/>
        </w:rPr>
        <w:t>L’Unité de Gestion du Projet du PISEN,</w:t>
      </w:r>
      <w:r>
        <w:rPr>
          <w:b/>
          <w:bCs/>
          <w:szCs w:val="24"/>
        </w:rPr>
        <w:t xml:space="preserve"> Quartier Koira Kano, </w:t>
      </w:r>
    </w:p>
    <w:p w14:paraId="781FC261">
      <w:pPr>
        <w:pStyle w:val="34"/>
        <w:spacing w:before="120" w:after="120"/>
        <w:ind w:left="0"/>
        <w:rPr>
          <w:b/>
          <w:bCs/>
          <w:szCs w:val="24"/>
          <w:lang w:eastAsia="zh-CN"/>
        </w:rPr>
      </w:pPr>
      <w:r>
        <w:rPr>
          <w:b/>
          <w:bCs/>
          <w:szCs w:val="24"/>
        </w:rPr>
        <w:t>Tel : +227 96 98 11 32, Niamey – Niger</w:t>
      </w:r>
      <w:r>
        <w:rPr>
          <w:b/>
          <w:bCs/>
          <w:szCs w:val="24"/>
          <w:lang w:eastAsia="zh-CN"/>
        </w:rPr>
        <w:t xml:space="preserve">, </w:t>
      </w:r>
    </w:p>
    <w:p w14:paraId="7570EF35">
      <w:pPr>
        <w:pStyle w:val="34"/>
        <w:spacing w:before="120" w:after="120"/>
        <w:ind w:left="0"/>
        <w:rPr>
          <w:b/>
          <w:bCs/>
          <w:szCs w:val="24"/>
          <w:u w:val="single"/>
        </w:rPr>
      </w:pPr>
      <w:r>
        <w:rPr>
          <w:b/>
          <w:bCs/>
          <w:szCs w:val="24"/>
          <w:lang w:eastAsia="zh-CN"/>
        </w:rPr>
        <w:t xml:space="preserve">courriel : </w:t>
      </w:r>
      <w:r>
        <w:fldChar w:fldCharType="begin"/>
      </w:r>
      <w:r>
        <w:instrText xml:space="preserve"> HYPERLINK "mailto:zakarazibo@gmail.com" </w:instrText>
      </w:r>
      <w:r>
        <w:fldChar w:fldCharType="separate"/>
      </w:r>
      <w:r>
        <w:rPr>
          <w:rStyle w:val="12"/>
          <w:b/>
          <w:bCs/>
          <w:szCs w:val="24"/>
          <w:lang w:eastAsia="zh-CN"/>
        </w:rPr>
        <w:t>zakarazibo@gmail.com</w:t>
      </w:r>
      <w:r>
        <w:rPr>
          <w:rStyle w:val="12"/>
          <w:b/>
          <w:bCs/>
          <w:szCs w:val="24"/>
          <w:lang w:eastAsia="zh-CN"/>
        </w:rPr>
        <w:fldChar w:fldCharType="end"/>
      </w:r>
      <w:r>
        <w:rPr>
          <w:b/>
          <w:bCs/>
          <w:szCs w:val="24"/>
          <w:lang w:eastAsia="zh-CN"/>
        </w:rPr>
        <w:t xml:space="preserve"> avec copie à </w:t>
      </w:r>
      <w:r>
        <w:fldChar w:fldCharType="begin"/>
      </w:r>
      <w:r>
        <w:instrText xml:space="preserve"> HYPERLINK "mailto:anarzakarah@gmail.com" </w:instrText>
      </w:r>
      <w:r>
        <w:fldChar w:fldCharType="separate"/>
      </w:r>
      <w:r>
        <w:rPr>
          <w:rStyle w:val="12"/>
          <w:b/>
          <w:bCs/>
          <w:szCs w:val="24"/>
          <w:lang w:eastAsia="zh-CN"/>
        </w:rPr>
        <w:t>anarzakarah@gmail.com</w:t>
      </w:r>
      <w:r>
        <w:rPr>
          <w:rStyle w:val="12"/>
          <w:b/>
          <w:bCs/>
          <w:szCs w:val="24"/>
          <w:lang w:eastAsia="zh-CN"/>
        </w:rPr>
        <w:fldChar w:fldCharType="end"/>
      </w:r>
      <w:r>
        <w:rPr>
          <w:b/>
          <w:bCs/>
          <w:szCs w:val="24"/>
        </w:rPr>
        <w:t xml:space="preserve">  et </w:t>
      </w:r>
      <w:r>
        <w:fldChar w:fldCharType="begin"/>
      </w:r>
      <w:r>
        <w:instrText xml:space="preserve"> HYPERLINK "mailto:rsanoussi2001@yahoo.fr" </w:instrText>
      </w:r>
      <w:r>
        <w:fldChar w:fldCharType="separate"/>
      </w:r>
      <w:r>
        <w:rPr>
          <w:rStyle w:val="12"/>
          <w:b/>
          <w:bCs/>
          <w:szCs w:val="24"/>
        </w:rPr>
        <w:t>rsanoussi2001@yahoo.fr</w:t>
      </w:r>
      <w:r>
        <w:rPr>
          <w:rStyle w:val="12"/>
          <w:b/>
          <w:bCs/>
          <w:szCs w:val="24"/>
        </w:rPr>
        <w:fldChar w:fldCharType="end"/>
      </w:r>
      <w:r>
        <w:rPr>
          <w:b/>
          <w:bCs/>
          <w:szCs w:val="24"/>
        </w:rPr>
        <w:t xml:space="preserve"> </w:t>
      </w:r>
      <w:r>
        <w:rPr>
          <w:b/>
          <w:bCs/>
          <w:szCs w:val="24"/>
          <w:lang w:eastAsia="zh-CN"/>
        </w:rPr>
        <w:t>, aux heures suivantes : du lundi au jeudi de 8 h 00 à 17 h 00, et les vendredis de 8 h 00 à 12 h 00 (Heure locale = GMT + 1)</w:t>
      </w:r>
    </w:p>
    <w:p w14:paraId="7328DF0F">
      <w:pPr>
        <w:ind w:left="360" w:hanging="360"/>
        <w:jc w:val="both"/>
        <w:rPr>
          <w:sz w:val="20"/>
        </w:rPr>
      </w:pPr>
    </w:p>
    <w:p w14:paraId="020247D3">
      <w:pPr>
        <w:jc w:val="right"/>
        <w:rPr>
          <w:sz w:val="26"/>
          <w:szCs w:val="26"/>
        </w:rPr>
      </w:pPr>
      <w:r>
        <w:rPr>
          <w:szCs w:val="24"/>
        </w:rPr>
        <w:t xml:space="preserve">                                                         </w:t>
      </w:r>
      <w:r>
        <w:rPr>
          <w:b/>
          <w:szCs w:val="24"/>
          <w:u w:val="single"/>
        </w:rPr>
        <w:t xml:space="preserve">Le Coordonnateur National </w:t>
      </w:r>
    </w:p>
    <w:p w14:paraId="4B63B774">
      <w:pPr>
        <w:ind w:left="3277" w:firstLine="113"/>
        <w:jc w:val="right"/>
        <w:rPr>
          <w:rFonts w:eastAsia="Calibri"/>
          <w:kern w:val="2"/>
          <w:szCs w:val="24"/>
          <w:lang w:eastAsia="en-US"/>
        </w:rPr>
      </w:pPr>
    </w:p>
    <w:p w14:paraId="001352AE">
      <w:pPr>
        <w:ind w:left="3277" w:firstLine="113"/>
        <w:jc w:val="right"/>
        <w:rPr>
          <w:rFonts w:eastAsia="Calibri"/>
          <w:kern w:val="2"/>
          <w:szCs w:val="24"/>
          <w:lang w:eastAsia="en-US"/>
        </w:rPr>
      </w:pPr>
    </w:p>
    <w:p w14:paraId="3AC69C91">
      <w:pPr>
        <w:ind w:left="3277" w:firstLine="113"/>
        <w:jc w:val="right"/>
        <w:rPr>
          <w:rFonts w:eastAsia="Calibri"/>
          <w:kern w:val="2"/>
          <w:szCs w:val="24"/>
          <w:lang w:eastAsia="en-US"/>
        </w:rPr>
      </w:pPr>
    </w:p>
    <w:p w14:paraId="44A8A483">
      <w:pPr>
        <w:ind w:left="3277" w:firstLine="113"/>
        <w:jc w:val="right"/>
        <w:rPr>
          <w:rFonts w:eastAsia="Calibri"/>
          <w:kern w:val="2"/>
          <w:szCs w:val="24"/>
          <w:lang w:eastAsia="en-US"/>
        </w:rPr>
      </w:pPr>
    </w:p>
    <w:p w14:paraId="52E7FF43">
      <w:pPr>
        <w:ind w:left="360" w:hanging="360"/>
        <w:jc w:val="center"/>
      </w:pPr>
      <w:r>
        <w:rPr>
          <w:rFonts w:eastAsia="Calibri"/>
          <w:b/>
          <w:bCs/>
          <w:kern w:val="2"/>
          <w:szCs w:val="24"/>
          <w:lang w:eastAsia="en-US"/>
        </w:rPr>
        <w:t xml:space="preserve">                                                                                                              ZIBO ZAKARA</w:t>
      </w:r>
    </w:p>
    <w:sectPr>
      <w:headerReference r:id="rId5" w:type="first"/>
      <w:pgSz w:w="11906" w:h="16838"/>
      <w:pgMar w:top="1135" w:right="1417" w:bottom="568"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3377">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82989"/>
    <w:multiLevelType w:val="multilevel"/>
    <w:tmpl w:val="31A829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ED1FA5"/>
    <w:multiLevelType w:val="multilevel"/>
    <w:tmpl w:val="34ED1FA5"/>
    <w:lvl w:ilvl="0" w:tentative="0">
      <w:start w:val="1"/>
      <w:numFmt w:val="decimal"/>
      <w:lvlText w:val="%1."/>
      <w:lvlJc w:val="left"/>
      <w:pPr>
        <w:tabs>
          <w:tab w:val="left" w:pos="720"/>
        </w:tabs>
        <w:ind w:left="720" w:hanging="720"/>
      </w:pPr>
      <w:rPr>
        <w:rFonts w:hint="default"/>
        <w:b w:val="0"/>
        <w:i w:val="0"/>
        <w:color w:val="00000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9A"/>
    <w:rsid w:val="00010D0E"/>
    <w:rsid w:val="001D13D8"/>
    <w:rsid w:val="004D064A"/>
    <w:rsid w:val="00514F9A"/>
    <w:rsid w:val="00814C44"/>
    <w:rsid w:val="00933F21"/>
    <w:rsid w:val="009A675D"/>
    <w:rsid w:val="00C26342"/>
    <w:rsid w:val="00C36BD2"/>
    <w:rsid w:val="00CA1017"/>
    <w:rsid w:val="00D26F0C"/>
    <w:rsid w:val="00E64666"/>
    <w:rsid w:val="591D74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0"/>
      <w:lang w:val="fr-FR" w:eastAsia="fr-FR"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character" w:styleId="12">
    <w:name w:val="Hyperlink"/>
    <w:uiPriority w:val="99"/>
    <w:rPr>
      <w:rFonts w:ascii="Times New Roman" w:hAnsi="Times New Roman"/>
      <w:color w:val="0000FF"/>
      <w:sz w:val="24"/>
      <w:u w:val="single"/>
    </w:rPr>
  </w:style>
  <w:style w:type="character" w:styleId="13">
    <w:name w:val="annotation reference"/>
    <w:semiHidden/>
    <w:unhideWhenUsed/>
    <w:qFormat/>
    <w:uiPriority w:val="99"/>
    <w:rPr>
      <w:sz w:val="16"/>
      <w:szCs w:val="16"/>
    </w:rPr>
  </w:style>
  <w:style w:type="paragraph" w:styleId="14">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annotation subject"/>
    <w:basedOn w:val="16"/>
    <w:next w:val="16"/>
    <w:link w:val="42"/>
    <w:semiHidden/>
    <w:unhideWhenUsed/>
    <w:uiPriority w:val="99"/>
    <w:rPr>
      <w:b/>
      <w:bCs/>
      <w:lang w:val="fr-FR" w:eastAsia="fr-FR"/>
    </w:rPr>
  </w:style>
  <w:style w:type="paragraph" w:styleId="16">
    <w:name w:val="annotation text"/>
    <w:basedOn w:val="1"/>
    <w:link w:val="40"/>
    <w:uiPriority w:val="99"/>
    <w:rPr>
      <w:sz w:val="20"/>
      <w:lang w:val="en-US" w:eastAsia="en-US"/>
    </w:rPr>
  </w:style>
  <w:style w:type="paragraph" w:styleId="17">
    <w:name w:val="footer"/>
    <w:basedOn w:val="1"/>
    <w:link w:val="43"/>
    <w:unhideWhenUsed/>
    <w:uiPriority w:val="99"/>
    <w:pPr>
      <w:tabs>
        <w:tab w:val="center" w:pos="4536"/>
        <w:tab w:val="right" w:pos="9072"/>
      </w:tabs>
    </w:pPr>
  </w:style>
  <w:style w:type="paragraph" w:styleId="18">
    <w:name w:val="header"/>
    <w:basedOn w:val="1"/>
    <w:link w:val="39"/>
    <w:uiPriority w:val="99"/>
    <w:pPr>
      <w:pBdr>
        <w:bottom w:val="single" w:color="000000" w:sz="4" w:space="1"/>
      </w:pBdr>
      <w:tabs>
        <w:tab w:val="right" w:pos="9000"/>
      </w:tabs>
      <w:jc w:val="both"/>
    </w:pPr>
    <w:rPr>
      <w:sz w:val="20"/>
      <w:lang/>
    </w:rPr>
  </w:style>
  <w:style w:type="paragraph" w:styleId="19">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1">
    <w:name w:val="Titre 1 C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Titre 2 C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Titre 3 Car"/>
    <w:basedOn w:val="11"/>
    <w:link w:val="4"/>
    <w:semiHidden/>
    <w:qFormat/>
    <w:uiPriority w:val="9"/>
    <w:rPr>
      <w:rFonts w:eastAsiaTheme="majorEastAsia" w:cstheme="majorBidi"/>
      <w:color w:val="2F5597" w:themeColor="accent1" w:themeShade="BF"/>
      <w:sz w:val="28"/>
      <w:szCs w:val="28"/>
    </w:rPr>
  </w:style>
  <w:style w:type="character" w:customStyle="1" w:styleId="24">
    <w:name w:val="Titre 4 Car"/>
    <w:basedOn w:val="11"/>
    <w:link w:val="5"/>
    <w:semiHidden/>
    <w:qFormat/>
    <w:uiPriority w:val="9"/>
    <w:rPr>
      <w:rFonts w:eastAsiaTheme="majorEastAsia" w:cstheme="majorBidi"/>
      <w:i/>
      <w:iCs/>
      <w:color w:val="2F5597" w:themeColor="accent1" w:themeShade="BF"/>
    </w:rPr>
  </w:style>
  <w:style w:type="character" w:customStyle="1" w:styleId="25">
    <w:name w:val="Titre 5 Car"/>
    <w:basedOn w:val="11"/>
    <w:link w:val="6"/>
    <w:semiHidden/>
    <w:qFormat/>
    <w:uiPriority w:val="9"/>
    <w:rPr>
      <w:rFonts w:eastAsiaTheme="majorEastAsia" w:cstheme="majorBidi"/>
      <w:color w:val="2F5597" w:themeColor="accent1" w:themeShade="BF"/>
    </w:rPr>
  </w:style>
  <w:style w:type="character" w:customStyle="1" w:styleId="26">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re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re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re Car"/>
    <w:basedOn w:val="11"/>
    <w:link w:val="19"/>
    <w:qFormat/>
    <w:uiPriority w:val="10"/>
    <w:rPr>
      <w:rFonts w:asciiTheme="majorHAnsi" w:hAnsiTheme="majorHAnsi" w:eastAsiaTheme="majorEastAsia" w:cstheme="majorBidi"/>
      <w:spacing w:val="-10"/>
      <w:kern w:val="28"/>
      <w:sz w:val="56"/>
      <w:szCs w:val="56"/>
    </w:rPr>
  </w:style>
  <w:style w:type="character" w:customStyle="1" w:styleId="31">
    <w:name w:val="Sous-titre C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tion C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Citation intense C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En-tête Car"/>
    <w:basedOn w:val="11"/>
    <w:link w:val="18"/>
    <w:qFormat/>
    <w:uiPriority w:val="99"/>
    <w:rPr>
      <w:rFonts w:ascii="Times New Roman" w:hAnsi="Times New Roman" w:eastAsia="Times New Roman" w:cs="Times New Roman"/>
      <w:kern w:val="0"/>
      <w:sz w:val="20"/>
      <w:szCs w:val="20"/>
      <w:lang w:eastAsia="fr-FR"/>
      <w14:ligatures w14:val="none"/>
    </w:rPr>
  </w:style>
  <w:style w:type="character" w:customStyle="1" w:styleId="40">
    <w:name w:val="Commentaire Car"/>
    <w:basedOn w:val="11"/>
    <w:link w:val="16"/>
    <w:qFormat/>
    <w:uiPriority w:val="99"/>
    <w:rPr>
      <w:rFonts w:ascii="Times New Roman" w:hAnsi="Times New Roman" w:eastAsia="Times New Roman" w:cs="Times New Roman"/>
      <w:kern w:val="0"/>
      <w:sz w:val="20"/>
      <w:szCs w:val="20"/>
      <w:lang w:val="en-US"/>
      <w14:ligatures w14:val="none"/>
    </w:rPr>
  </w:style>
  <w:style w:type="character" w:customStyle="1" w:styleId="41">
    <w:name w:val="Paragraphe de liste Car"/>
    <w:link w:val="34"/>
    <w:qFormat/>
    <w:locked/>
    <w:uiPriority w:val="34"/>
  </w:style>
  <w:style w:type="character" w:customStyle="1" w:styleId="42">
    <w:name w:val="Objet du commentaire Car"/>
    <w:basedOn w:val="40"/>
    <w:link w:val="15"/>
    <w:semiHidden/>
    <w:uiPriority w:val="99"/>
    <w:rPr>
      <w:rFonts w:ascii="Times New Roman" w:hAnsi="Times New Roman" w:eastAsia="Times New Roman" w:cs="Times New Roman"/>
      <w:b/>
      <w:bCs/>
      <w:kern w:val="0"/>
      <w:sz w:val="20"/>
      <w:szCs w:val="20"/>
      <w:lang w:val="en-US" w:eastAsia="fr-FR"/>
      <w14:ligatures w14:val="none"/>
    </w:rPr>
  </w:style>
  <w:style w:type="character" w:customStyle="1" w:styleId="43">
    <w:name w:val="Pied de page Car"/>
    <w:basedOn w:val="11"/>
    <w:link w:val="17"/>
    <w:uiPriority w:val="99"/>
    <w:rPr>
      <w:rFonts w:ascii="Times New Roman" w:hAnsi="Times New Roman" w:eastAsia="Times New Roman" w:cs="Times New Roman"/>
      <w:kern w:val="0"/>
      <w:szCs w:val="20"/>
      <w:lang w:eastAsia="fr-FR"/>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848</Words>
  <Characters>4567</Characters>
  <Lines>40</Lines>
  <Paragraphs>11</Paragraphs>
  <TotalTime>11</TotalTime>
  <ScaleCrop>false</ScaleCrop>
  <LinksUpToDate>false</LinksUpToDate>
  <CharactersWithSpaces>5553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2026-07-01T08:49:00Z</dcterms:created>
  <dc:creator>AMID TRAOR</dc:creator>
  <cp:lastModifiedBy>HP</cp:lastModifiedBy>
  <dcterms:modified xsi:type="dcterms:W3CDTF">2026-07-15T10:40:32Z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D260492C592B4B489A6A3D13DF6F86D3_13</vt:lpwstr>
  </property>
</Properties>
</file>