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A6E5" w14:textId="7DC2D872" w:rsidR="00C22B1B" w:rsidRPr="007705CD" w:rsidRDefault="00D126DE" w:rsidP="00C22B1B">
      <w:pPr>
        <w:pStyle w:val="Paragraphedeliste"/>
        <w:ind w:left="0"/>
      </w:pPr>
      <w:r>
        <w:rPr>
          <w:noProof/>
        </w:rPr>
        <w:drawing>
          <wp:anchor distT="0" distB="0" distL="114300" distR="114300" simplePos="0" relativeHeight="251659264" behindDoc="0" locked="0" layoutInCell="1" allowOverlap="1" wp14:anchorId="11DCEFFF" wp14:editId="5CF4EA59">
            <wp:simplePos x="0" y="0"/>
            <wp:positionH relativeFrom="page">
              <wp:posOffset>5486400</wp:posOffset>
            </wp:positionH>
            <wp:positionV relativeFrom="page">
              <wp:posOffset>781711</wp:posOffset>
            </wp:positionV>
            <wp:extent cx="1202299" cy="6762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299" cy="6762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20104086"/>
      <w:r w:rsidR="00C22B1B">
        <w:t>R</w:t>
      </w:r>
      <w:r w:rsidR="00C22B1B" w:rsidRPr="007705CD">
        <w:t>EPUBLIQUE DU NIGER</w:t>
      </w:r>
    </w:p>
    <w:p w14:paraId="7ACD6C24" w14:textId="77777777" w:rsidR="00C22B1B" w:rsidRPr="00BB1844" w:rsidRDefault="00C22B1B" w:rsidP="00C22B1B">
      <w:pPr>
        <w:pStyle w:val="Paragraphedeliste"/>
        <w:ind w:left="0"/>
        <w:rPr>
          <w:sz w:val="20"/>
          <w:szCs w:val="20"/>
        </w:rPr>
      </w:pPr>
      <w:r w:rsidRPr="00BB1844">
        <w:rPr>
          <w:sz w:val="20"/>
          <w:szCs w:val="20"/>
        </w:rPr>
        <w:t xml:space="preserve">AGENCE NATIONALE POUR LA SOCIETE </w:t>
      </w:r>
    </w:p>
    <w:p w14:paraId="35BA8FD3" w14:textId="77777777" w:rsidR="00C22B1B" w:rsidRPr="00BB1844" w:rsidRDefault="00C22B1B" w:rsidP="00C22B1B">
      <w:pPr>
        <w:pStyle w:val="Paragraphedeliste"/>
        <w:ind w:left="0"/>
        <w:rPr>
          <w:sz w:val="20"/>
          <w:szCs w:val="20"/>
        </w:rPr>
      </w:pPr>
      <w:r w:rsidRPr="00BB1844">
        <w:rPr>
          <w:sz w:val="20"/>
          <w:szCs w:val="20"/>
        </w:rPr>
        <w:t>DE L’INFORMATION (ANSI)</w:t>
      </w:r>
    </w:p>
    <w:p w14:paraId="512C571C" w14:textId="77777777" w:rsidR="00C22B1B" w:rsidRPr="007155DC" w:rsidRDefault="00C22B1B" w:rsidP="00C22B1B">
      <w:pPr>
        <w:pStyle w:val="Paragraphedeliste"/>
        <w:ind w:left="0"/>
        <w:rPr>
          <w:b/>
          <w:sz w:val="20"/>
          <w:szCs w:val="20"/>
        </w:rPr>
      </w:pPr>
      <w:r w:rsidRPr="007155DC">
        <w:rPr>
          <w:b/>
          <w:sz w:val="20"/>
          <w:szCs w:val="20"/>
        </w:rPr>
        <w:t xml:space="preserve">PROJET VILLAGES INTELLIGENTS POUR LA CROISSANCE </w:t>
      </w:r>
    </w:p>
    <w:p w14:paraId="2D16B5A0" w14:textId="77777777" w:rsidR="00C22B1B" w:rsidRPr="007155DC" w:rsidRDefault="00C22B1B" w:rsidP="00C22B1B">
      <w:pPr>
        <w:pStyle w:val="Paragraphedeliste"/>
        <w:ind w:left="0"/>
        <w:rPr>
          <w:b/>
          <w:sz w:val="20"/>
          <w:szCs w:val="20"/>
        </w:rPr>
      </w:pPr>
      <w:r w:rsidRPr="007155DC">
        <w:rPr>
          <w:b/>
          <w:sz w:val="20"/>
          <w:szCs w:val="20"/>
        </w:rPr>
        <w:t>RURALE ET L’INCLUSION NUMERIQUE (PVI)</w:t>
      </w:r>
    </w:p>
    <w:p w14:paraId="5B42768B" w14:textId="77777777" w:rsidR="00C22B1B" w:rsidRDefault="00842A88" w:rsidP="00C22B1B">
      <w:pPr>
        <w:rPr>
          <w:b/>
          <w:sz w:val="28"/>
          <w:szCs w:val="28"/>
        </w:rPr>
      </w:pPr>
      <w:r w:rsidRPr="00BA726B">
        <w:rPr>
          <w:b/>
          <w:sz w:val="28"/>
          <w:szCs w:val="28"/>
        </w:rPr>
        <w:t xml:space="preserve">             </w:t>
      </w:r>
    </w:p>
    <w:p w14:paraId="1FCA8DE9" w14:textId="31E265B8" w:rsidR="00BA726B" w:rsidRDefault="00C22B1B" w:rsidP="00C22B1B">
      <w:pPr>
        <w:rPr>
          <w:sz w:val="28"/>
          <w:szCs w:val="28"/>
        </w:rPr>
      </w:pPr>
      <w:r>
        <w:rPr>
          <w:b/>
          <w:sz w:val="28"/>
          <w:szCs w:val="28"/>
        </w:rPr>
        <w:t xml:space="preserve">                  </w:t>
      </w:r>
      <w:r w:rsidR="00842A88" w:rsidRPr="00BA726B">
        <w:rPr>
          <w:b/>
          <w:sz w:val="28"/>
          <w:szCs w:val="28"/>
        </w:rPr>
        <w:t xml:space="preserve">Avis d’Appel d’Offres </w:t>
      </w:r>
      <w:r w:rsidR="00F26F81" w:rsidRPr="00DD5E64">
        <w:rPr>
          <w:bCs/>
          <w:iCs/>
        </w:rPr>
        <w:t>003/202</w:t>
      </w:r>
      <w:r w:rsidR="00CE1FE1">
        <w:rPr>
          <w:bCs/>
          <w:iCs/>
        </w:rPr>
        <w:t>6</w:t>
      </w:r>
      <w:r w:rsidR="00F26F81" w:rsidRPr="00DD5E64">
        <w:rPr>
          <w:bCs/>
          <w:iCs/>
        </w:rPr>
        <w:t>/FOURN/ANSI/PVI</w:t>
      </w:r>
    </w:p>
    <w:p w14:paraId="38B2EE33" w14:textId="77777777" w:rsidR="00C22B1B" w:rsidRPr="00BA726B" w:rsidRDefault="00C22B1B" w:rsidP="00C22B1B">
      <w:pPr>
        <w:rPr>
          <w:sz w:val="28"/>
          <w:szCs w:val="28"/>
        </w:rPr>
      </w:pPr>
    </w:p>
    <w:p w14:paraId="42E4FCC2" w14:textId="77777777" w:rsidR="00F26F81" w:rsidRDefault="00F26F81" w:rsidP="00F26F81">
      <w:pPr>
        <w:pBdr>
          <w:top w:val="single" w:sz="4" w:space="1" w:color="auto"/>
          <w:left w:val="single" w:sz="4" w:space="4" w:color="auto"/>
          <w:bottom w:val="single" w:sz="4" w:space="1" w:color="auto"/>
          <w:right w:val="single" w:sz="4" w:space="31" w:color="auto"/>
        </w:pBdr>
        <w:tabs>
          <w:tab w:val="right" w:pos="7272"/>
        </w:tabs>
        <w:spacing w:before="60" w:after="60"/>
        <w:jc w:val="center"/>
        <w:rPr>
          <w:b/>
          <w:iCs/>
        </w:rPr>
      </w:pPr>
    </w:p>
    <w:p w14:paraId="49E110B8" w14:textId="12BEB92D" w:rsidR="00F26F81" w:rsidRPr="00F26F81" w:rsidRDefault="00F26F81" w:rsidP="00F26F81">
      <w:pPr>
        <w:pBdr>
          <w:top w:val="single" w:sz="4" w:space="1" w:color="auto"/>
          <w:left w:val="single" w:sz="4" w:space="4" w:color="auto"/>
          <w:bottom w:val="single" w:sz="4" w:space="1" w:color="auto"/>
          <w:right w:val="single" w:sz="4" w:space="31" w:color="auto"/>
        </w:pBdr>
        <w:tabs>
          <w:tab w:val="right" w:pos="7272"/>
        </w:tabs>
        <w:spacing w:before="60" w:after="60"/>
        <w:jc w:val="center"/>
        <w:rPr>
          <w:b/>
          <w:iCs/>
        </w:rPr>
      </w:pPr>
      <w:r w:rsidRPr="00F26F81">
        <w:rPr>
          <w:b/>
        </w:rPr>
        <w:t>ACQUISITION ET INSTALLATION D’EQUIPEMENTS TECHNIQUES POUR LA MODERNISATION DE L’ENVIRONNEMENT DE TRAVAIL DE L’ADMINISTRATION</w:t>
      </w:r>
    </w:p>
    <w:p w14:paraId="52F19733" w14:textId="77777777" w:rsidR="00F1276D" w:rsidRDefault="00F1276D" w:rsidP="00951415">
      <w:pPr>
        <w:pStyle w:val="BankNormal"/>
        <w:suppressAutoHyphens/>
        <w:spacing w:after="60"/>
        <w:ind w:left="578" w:hanging="578"/>
        <w:rPr>
          <w:b/>
          <w:szCs w:val="24"/>
          <w:lang w:val="fr-FR"/>
        </w:rPr>
      </w:pPr>
    </w:p>
    <w:p w14:paraId="641925A8" w14:textId="022620C8" w:rsidR="00951415" w:rsidRPr="0014247A" w:rsidRDefault="00951415" w:rsidP="00951415">
      <w:pPr>
        <w:pStyle w:val="BankNormal"/>
        <w:suppressAutoHyphens/>
        <w:spacing w:after="60"/>
        <w:ind w:left="578" w:hanging="578"/>
        <w:rPr>
          <w:bCs/>
          <w:i/>
          <w:iCs/>
          <w:color w:val="FF0000"/>
          <w:szCs w:val="24"/>
          <w:lang w:val="fr-FR"/>
        </w:rPr>
      </w:pPr>
      <w:r w:rsidRPr="00AD67B9">
        <w:rPr>
          <w:b/>
          <w:szCs w:val="24"/>
          <w:lang w:val="fr-FR"/>
        </w:rPr>
        <w:t xml:space="preserve">Maître d’Ouvrage : </w:t>
      </w:r>
      <w:r w:rsidR="00F1276D">
        <w:rPr>
          <w:b/>
          <w:szCs w:val="24"/>
          <w:lang w:val="fr-FR"/>
        </w:rPr>
        <w:t xml:space="preserve">    </w:t>
      </w:r>
      <w:r w:rsidRPr="009040A6">
        <w:rPr>
          <w:rStyle w:val="Aucun"/>
          <w:szCs w:val="24"/>
          <w:lang w:val="fr-FR"/>
        </w:rPr>
        <w:t>Agence Nationale pour la Société de l’Information (ANSI)</w:t>
      </w:r>
    </w:p>
    <w:p w14:paraId="33C685A8" w14:textId="454DB57D" w:rsidR="00951415" w:rsidRPr="00011685" w:rsidRDefault="00951415" w:rsidP="00951415">
      <w:pPr>
        <w:spacing w:before="60" w:after="60"/>
      </w:pPr>
      <w:r w:rsidRPr="00AD67B9">
        <w:rPr>
          <w:b/>
        </w:rPr>
        <w:t xml:space="preserve">Pays : </w:t>
      </w:r>
      <w:r w:rsidR="00F1276D">
        <w:rPr>
          <w:b/>
        </w:rPr>
        <w:t xml:space="preserve">                           </w:t>
      </w:r>
      <w:r w:rsidR="00F1276D" w:rsidRPr="00F1276D">
        <w:t>République du</w:t>
      </w:r>
      <w:r w:rsidR="00F1276D">
        <w:rPr>
          <w:b/>
        </w:rPr>
        <w:t xml:space="preserve"> </w:t>
      </w:r>
      <w:r w:rsidRPr="00011685">
        <w:rPr>
          <w:iCs/>
        </w:rPr>
        <w:t>Niger</w:t>
      </w:r>
    </w:p>
    <w:p w14:paraId="7A4E0E87" w14:textId="77777777" w:rsidR="00F1276D" w:rsidRDefault="00951415" w:rsidP="00951415">
      <w:pPr>
        <w:spacing w:before="60" w:after="60"/>
        <w:rPr>
          <w:rStyle w:val="Aucun"/>
          <w:iCs/>
          <w:color w:val="000000" w:themeColor="text1"/>
          <w:sz w:val="22"/>
          <w:szCs w:val="22"/>
        </w:rPr>
      </w:pPr>
      <w:r w:rsidRPr="00011685">
        <w:rPr>
          <w:b/>
        </w:rPr>
        <w:t xml:space="preserve">Projet : </w:t>
      </w:r>
      <w:r w:rsidR="00F1276D">
        <w:rPr>
          <w:b/>
        </w:rPr>
        <w:t xml:space="preserve">                         </w:t>
      </w:r>
      <w:r w:rsidRPr="00011685">
        <w:rPr>
          <w:rStyle w:val="Aucun"/>
          <w:iCs/>
          <w:color w:val="000000" w:themeColor="text1"/>
          <w:sz w:val="22"/>
          <w:szCs w:val="22"/>
        </w:rPr>
        <w:t xml:space="preserve">Projet Villages Intelligents pour la Croissance Rurale et l’Inclusion </w:t>
      </w:r>
    </w:p>
    <w:p w14:paraId="62025FE3" w14:textId="1728C38F" w:rsidR="00951415" w:rsidRPr="00011685" w:rsidRDefault="00F1276D" w:rsidP="00951415">
      <w:pPr>
        <w:spacing w:before="60" w:after="60"/>
      </w:pPr>
      <w:r>
        <w:rPr>
          <w:rStyle w:val="Aucun"/>
          <w:iCs/>
          <w:color w:val="000000" w:themeColor="text1"/>
          <w:sz w:val="22"/>
          <w:szCs w:val="22"/>
        </w:rPr>
        <w:t xml:space="preserve">                                           </w:t>
      </w:r>
      <w:r w:rsidR="00951415" w:rsidRPr="00011685">
        <w:rPr>
          <w:rStyle w:val="Aucun"/>
          <w:iCs/>
          <w:color w:val="000000" w:themeColor="text1"/>
          <w:sz w:val="22"/>
          <w:szCs w:val="22"/>
        </w:rPr>
        <w:t>Numérique (PVI)</w:t>
      </w:r>
    </w:p>
    <w:p w14:paraId="05B057B0" w14:textId="4D03844B" w:rsidR="00F1276D" w:rsidRDefault="00F26F81" w:rsidP="00951415">
      <w:r w:rsidRPr="00DD5E64">
        <w:rPr>
          <w:b/>
          <w:bCs/>
        </w:rPr>
        <w:t>Intitulé du Marché</w:t>
      </w:r>
      <w:r w:rsidRPr="00DD5E64">
        <w:rPr>
          <w:bCs/>
          <w:i/>
          <w:iCs/>
        </w:rPr>
        <w:t> </w:t>
      </w:r>
      <w:r w:rsidR="00951415">
        <w:rPr>
          <w:b/>
        </w:rPr>
        <w:t xml:space="preserve">: </w:t>
      </w:r>
      <w:r w:rsidR="00951415" w:rsidRPr="00AD67B9">
        <w:rPr>
          <w:b/>
        </w:rPr>
        <w:t> </w:t>
      </w:r>
      <w:r w:rsidR="00F1276D">
        <w:rPr>
          <w:b/>
        </w:rPr>
        <w:t xml:space="preserve">  </w:t>
      </w:r>
      <w:r w:rsidRPr="00C5693B">
        <w:t xml:space="preserve">Acquisition et installation d’équipements techniques pour la </w:t>
      </w:r>
    </w:p>
    <w:p w14:paraId="102569D9" w14:textId="4C148F0F" w:rsidR="00951415" w:rsidRPr="00611C92" w:rsidRDefault="00F1276D" w:rsidP="00951415">
      <w:r>
        <w:t xml:space="preserve">                                       </w:t>
      </w:r>
      <w:r w:rsidR="00F26F81" w:rsidRPr="00C5693B">
        <w:t>modernisation de l’environnement de travail de l’administration</w:t>
      </w:r>
    </w:p>
    <w:p w14:paraId="0BCF956E" w14:textId="2654DA28" w:rsidR="00F1276D" w:rsidRDefault="00F1276D" w:rsidP="00105A56">
      <w:r w:rsidRPr="00DD5E64">
        <w:rPr>
          <w:b/>
          <w:bCs/>
          <w:sz w:val="23"/>
          <w:szCs w:val="23"/>
        </w:rPr>
        <w:t>N° du Prêt/Don/Crédit : Crédit :</w:t>
      </w:r>
      <w:r w:rsidRPr="00DD5E64">
        <w:t xml:space="preserve"> N°6688-NE </w:t>
      </w:r>
      <w:r w:rsidR="002E45ED">
        <w:t xml:space="preserve"> </w:t>
      </w:r>
      <w:r w:rsidR="00CE1FE1">
        <w:t xml:space="preserve"> </w:t>
      </w:r>
      <w:r w:rsidRPr="00DD5E64">
        <w:rPr>
          <w:b/>
        </w:rPr>
        <w:t xml:space="preserve">Don </w:t>
      </w:r>
      <w:r w:rsidRPr="00DD5E64">
        <w:t>: N°D656-NE</w:t>
      </w:r>
      <w:r w:rsidRPr="00AD67B9">
        <w:rPr>
          <w:b/>
        </w:rPr>
        <w:t xml:space="preserve"> </w:t>
      </w:r>
      <w:r>
        <w:rPr>
          <w:b/>
        </w:rPr>
        <w:t xml:space="preserve"> </w:t>
      </w:r>
      <w:r w:rsidR="00113184">
        <w:rPr>
          <w:b/>
        </w:rPr>
        <w:t xml:space="preserve"> </w:t>
      </w:r>
      <w:r>
        <w:rPr>
          <w:b/>
        </w:rPr>
        <w:t xml:space="preserve">-167543 </w:t>
      </w:r>
      <w:r w:rsidR="00105A56">
        <w:t xml:space="preserve"> </w:t>
      </w:r>
      <w:r w:rsidR="006779AE">
        <w:t xml:space="preserve">   </w:t>
      </w:r>
    </w:p>
    <w:p w14:paraId="45D0BDC6" w14:textId="77777777" w:rsidR="00F1276D" w:rsidRPr="00113184" w:rsidRDefault="00F1276D" w:rsidP="00105A56">
      <w:pPr>
        <w:rPr>
          <w:b/>
          <w:sz w:val="6"/>
          <w:szCs w:val="6"/>
        </w:rPr>
      </w:pPr>
    </w:p>
    <w:p w14:paraId="065A7045" w14:textId="3EC1C663" w:rsidR="00105A56" w:rsidRPr="00F1276D" w:rsidRDefault="00105A56" w:rsidP="00105A56">
      <w:pPr>
        <w:rPr>
          <w:rFonts w:asciiTheme="majorBidi" w:hAnsiTheme="majorBidi" w:cstheme="majorBidi"/>
          <w:b/>
        </w:rPr>
      </w:pPr>
      <w:r w:rsidRPr="00F1276D">
        <w:rPr>
          <w:b/>
        </w:rPr>
        <w:t>Emis</w:t>
      </w:r>
      <w:r w:rsidRPr="00F1276D">
        <w:rPr>
          <w:rFonts w:asciiTheme="majorBidi" w:hAnsiTheme="majorBidi" w:cstheme="majorBidi"/>
          <w:b/>
          <w:bCs/>
        </w:rPr>
        <w:t xml:space="preserve"> le</w:t>
      </w:r>
      <w:r w:rsidR="00F1276D">
        <w:rPr>
          <w:rFonts w:asciiTheme="majorBidi" w:hAnsiTheme="majorBidi" w:cstheme="majorBidi"/>
          <w:b/>
          <w:bCs/>
        </w:rPr>
        <w:t> </w:t>
      </w:r>
      <w:r w:rsidR="00F1276D" w:rsidRPr="00EA3887">
        <w:rPr>
          <w:rFonts w:asciiTheme="majorBidi" w:hAnsiTheme="majorBidi" w:cstheme="majorBidi"/>
          <w:b/>
          <w:bCs/>
        </w:rPr>
        <w:t xml:space="preserve">: </w:t>
      </w:r>
      <w:r w:rsidR="00CC33B6" w:rsidRPr="00EA3887">
        <w:rPr>
          <w:rFonts w:asciiTheme="majorBidi" w:hAnsiTheme="majorBidi" w:cstheme="majorBidi"/>
          <w:b/>
          <w:bCs/>
        </w:rPr>
        <w:t>0</w:t>
      </w:r>
      <w:r w:rsidR="00EA3887" w:rsidRPr="00EA3887">
        <w:rPr>
          <w:rFonts w:asciiTheme="majorBidi" w:hAnsiTheme="majorBidi" w:cstheme="majorBidi"/>
          <w:b/>
          <w:bCs/>
        </w:rPr>
        <w:t>4</w:t>
      </w:r>
      <w:r w:rsidR="00F1276D" w:rsidRPr="00EA3887">
        <w:rPr>
          <w:rFonts w:asciiTheme="majorBidi" w:hAnsiTheme="majorBidi" w:cstheme="majorBidi"/>
          <w:b/>
          <w:bCs/>
        </w:rPr>
        <w:t xml:space="preserve"> </w:t>
      </w:r>
      <w:r w:rsidR="00CC33B6" w:rsidRPr="00EA3887">
        <w:rPr>
          <w:rFonts w:asciiTheme="majorBidi" w:hAnsiTheme="majorBidi" w:cstheme="majorBidi"/>
          <w:b/>
          <w:bCs/>
        </w:rPr>
        <w:t>Février</w:t>
      </w:r>
      <w:r w:rsidR="00F1276D" w:rsidRPr="00EA3887">
        <w:rPr>
          <w:rFonts w:asciiTheme="majorBidi" w:hAnsiTheme="majorBidi" w:cstheme="majorBidi"/>
          <w:b/>
          <w:bCs/>
        </w:rPr>
        <w:t xml:space="preserve"> </w:t>
      </w:r>
      <w:r w:rsidRPr="00EA3887">
        <w:rPr>
          <w:rFonts w:asciiTheme="majorBidi" w:hAnsiTheme="majorBidi" w:cstheme="majorBidi"/>
          <w:b/>
          <w:iCs/>
        </w:rPr>
        <w:t>202</w:t>
      </w:r>
      <w:r w:rsidR="00CC33B6" w:rsidRPr="00EA3887">
        <w:rPr>
          <w:rFonts w:asciiTheme="majorBidi" w:hAnsiTheme="majorBidi" w:cstheme="majorBidi"/>
          <w:b/>
          <w:iCs/>
        </w:rPr>
        <w:t>6</w:t>
      </w:r>
    </w:p>
    <w:p w14:paraId="5691B0A7" w14:textId="77777777" w:rsidR="00951415" w:rsidRPr="00B4328A" w:rsidRDefault="00951415" w:rsidP="00951415">
      <w:pPr>
        <w:spacing w:before="60" w:after="60"/>
      </w:pPr>
    </w:p>
    <w:p w14:paraId="2E32C93E" w14:textId="60B1FE91" w:rsidR="00842A88" w:rsidRPr="00D0352D" w:rsidRDefault="00842A88" w:rsidP="00A744C5">
      <w:pPr>
        <w:jc w:val="both"/>
      </w:pPr>
      <w:r w:rsidRPr="00D0352D">
        <w:t>Cet Avis d’appel d’offres fait suite à l’Avis Général de Passation des Marchés paru online sur le site de la Banque Mondiale ainsi que le Plan de Passation des Marchés Publics 202</w:t>
      </w:r>
      <w:r w:rsidR="00045F10">
        <w:t>5</w:t>
      </w:r>
      <w:r w:rsidRPr="00D0352D">
        <w:t xml:space="preserve"> du PVI </w:t>
      </w:r>
      <w:r w:rsidR="0050221C" w:rsidRPr="00D0352D">
        <w:t>publié dans le sahe</w:t>
      </w:r>
      <w:r w:rsidR="00E72E36" w:rsidRPr="00D0352D">
        <w:t>l quotidien N°</w:t>
      </w:r>
      <w:r w:rsidR="003B36BD">
        <w:t>11 010</w:t>
      </w:r>
      <w:r w:rsidR="00E72E36" w:rsidRPr="00D0352D">
        <w:t xml:space="preserve"> du </w:t>
      </w:r>
      <w:r w:rsidR="003B36BD">
        <w:t>Lun</w:t>
      </w:r>
      <w:r w:rsidR="00E72E36" w:rsidRPr="00D0352D">
        <w:t xml:space="preserve">di </w:t>
      </w:r>
      <w:r w:rsidR="003B36BD">
        <w:t>2</w:t>
      </w:r>
      <w:r w:rsidR="00E72E36" w:rsidRPr="00D0352D">
        <w:t xml:space="preserve">0 </w:t>
      </w:r>
      <w:r w:rsidR="003B36BD">
        <w:t>Octobre</w:t>
      </w:r>
      <w:r w:rsidR="00E72E36" w:rsidRPr="00D0352D">
        <w:t xml:space="preserve"> 202</w:t>
      </w:r>
      <w:r w:rsidR="003B36BD">
        <w:t>5</w:t>
      </w:r>
      <w:r w:rsidR="00E72E36" w:rsidRPr="00D0352D">
        <w:t>.</w:t>
      </w:r>
    </w:p>
    <w:bookmarkEnd w:id="0"/>
    <w:p w14:paraId="6D5F0971" w14:textId="77777777" w:rsidR="00236AF6" w:rsidRDefault="00236AF6" w:rsidP="00236AF6"/>
    <w:p w14:paraId="51969ECB" w14:textId="77777777" w:rsidR="00F26F81" w:rsidRPr="00DD5E64" w:rsidRDefault="00F26F81" w:rsidP="00F26F81">
      <w:pPr>
        <w:numPr>
          <w:ilvl w:val="0"/>
          <w:numId w:val="1"/>
        </w:numPr>
        <w:spacing w:after="200"/>
        <w:ind w:left="0" w:firstLine="0"/>
        <w:jc w:val="both"/>
      </w:pPr>
      <w:r w:rsidRPr="00DD5E64">
        <w:t>Le Gouvernement de la République du Niger a reçu un financement de la Banque Mondiale pour financer le Projet Villages Intelligents pour la Croissance Rurale et l’Inclusion Numérique, et à l’intention d’utiliser une partie de ce financement pour effectuer des paiements au titre du Marché pour l’acquisition et l’installation d’équipements techniques pour la modernisation de l’environnement de travail de l’administration</w:t>
      </w:r>
      <w:r w:rsidRPr="00DD5E64">
        <w:rPr>
          <w:i/>
          <w:iCs/>
        </w:rPr>
        <w:t xml:space="preserve">.  </w:t>
      </w:r>
      <w:r w:rsidRPr="00DD5E64">
        <w:t>« Pour ce marché, l’Emprunteur utilisera la méthode de décaissement par Paiement Direct, telle que définie dans les Directives de Décaissement de la Banque mondiale pour le Financement de Projet d’Investissement, à l’exception des paiements pour lesquels le marché prévoit l’utilisation de crédit documentaire. ».</w:t>
      </w:r>
      <w:r w:rsidRPr="00DD5E64">
        <w:rPr>
          <w:i/>
          <w:iCs/>
        </w:rPr>
        <w:t xml:space="preserve"> </w:t>
      </w:r>
    </w:p>
    <w:p w14:paraId="1A56BFD2" w14:textId="77777777" w:rsidR="00F26F81" w:rsidRPr="003E1395" w:rsidRDefault="00F26F81" w:rsidP="00F26F81">
      <w:pPr>
        <w:numPr>
          <w:ilvl w:val="0"/>
          <w:numId w:val="1"/>
        </w:numPr>
        <w:spacing w:after="200"/>
        <w:ind w:left="0" w:firstLine="0"/>
        <w:jc w:val="both"/>
      </w:pPr>
      <w:r w:rsidRPr="00DD5E64">
        <w:t>L’Unité de Gestion du Projet Villages Intelligents pour la Croissance Rurale et l’Inclusion Numérique sollicite des offres fermées de la part de soumissionnaires éligibles et répondant aux qualifications requises pour fournir et l’installer des équipements techniques pour la modernisation de l’environnement de travail de l’administration</w:t>
      </w:r>
      <w:r>
        <w:t xml:space="preserve"> </w:t>
      </w:r>
      <w:r w:rsidRPr="003E1395">
        <w:t>en 5 lots</w:t>
      </w:r>
      <w:r>
        <w:t> </w:t>
      </w:r>
      <w:r w:rsidRPr="003E1395">
        <w:t>:</w:t>
      </w:r>
    </w:p>
    <w:p w14:paraId="0D098840" w14:textId="77777777" w:rsidR="00F26F81" w:rsidRPr="003E1395" w:rsidRDefault="00F26F81" w:rsidP="00F26F81">
      <w:pPr>
        <w:pStyle w:val="Paragraphedeliste"/>
        <w:tabs>
          <w:tab w:val="right" w:pos="7272"/>
        </w:tabs>
        <w:spacing w:after="200"/>
        <w:rPr>
          <w:b/>
        </w:rPr>
      </w:pPr>
      <w:r w:rsidRPr="003E1395">
        <w:rPr>
          <w:b/>
        </w:rPr>
        <w:t xml:space="preserve">Lot 1 :  </w:t>
      </w:r>
      <w:r w:rsidRPr="00445F21">
        <w:t>I</w:t>
      </w:r>
      <w:r w:rsidRPr="003E1395">
        <w:rPr>
          <w:bCs/>
        </w:rPr>
        <w:t>nfrastructure Data Center &amp; Réseau</w:t>
      </w:r>
      <w:r>
        <w:t xml:space="preserve">, </w:t>
      </w:r>
    </w:p>
    <w:p w14:paraId="41BCB220" w14:textId="77777777" w:rsidR="00F26F81" w:rsidRPr="003E1395" w:rsidRDefault="00F26F81" w:rsidP="00F26F81">
      <w:pPr>
        <w:pStyle w:val="Paragraphedeliste"/>
        <w:tabs>
          <w:tab w:val="right" w:pos="7272"/>
        </w:tabs>
        <w:spacing w:after="200"/>
        <w:rPr>
          <w:b/>
        </w:rPr>
      </w:pPr>
      <w:r w:rsidRPr="003E1395">
        <w:rPr>
          <w:b/>
        </w:rPr>
        <w:t xml:space="preserve">Lot 2 : </w:t>
      </w:r>
      <w:r w:rsidRPr="003E1395">
        <w:rPr>
          <w:bCs/>
        </w:rPr>
        <w:t>Postes de Travail de Bureau</w:t>
      </w:r>
    </w:p>
    <w:p w14:paraId="7F0A5C46" w14:textId="77777777" w:rsidR="00F26F81" w:rsidRPr="003E1395" w:rsidRDefault="00F26F81" w:rsidP="00F26F81">
      <w:pPr>
        <w:pStyle w:val="Paragraphedeliste"/>
        <w:tabs>
          <w:tab w:val="right" w:pos="7272"/>
        </w:tabs>
        <w:spacing w:after="200"/>
        <w:rPr>
          <w:b/>
        </w:rPr>
      </w:pPr>
      <w:r w:rsidRPr="003E1395">
        <w:rPr>
          <w:b/>
        </w:rPr>
        <w:t xml:space="preserve">Lot 3 : </w:t>
      </w:r>
      <w:r w:rsidRPr="003E1395">
        <w:rPr>
          <w:bCs/>
        </w:rPr>
        <w:t>Postes de Travail nomades</w:t>
      </w:r>
    </w:p>
    <w:p w14:paraId="4B82E3CA" w14:textId="77777777" w:rsidR="00F26F81" w:rsidRPr="003E1395" w:rsidRDefault="00F26F81" w:rsidP="00F26F81">
      <w:pPr>
        <w:pStyle w:val="Paragraphedeliste"/>
        <w:tabs>
          <w:tab w:val="right" w:pos="7272"/>
        </w:tabs>
        <w:spacing w:after="200"/>
        <w:rPr>
          <w:b/>
        </w:rPr>
      </w:pPr>
      <w:r w:rsidRPr="003E1395">
        <w:rPr>
          <w:b/>
        </w:rPr>
        <w:t xml:space="preserve">Lot 4 : </w:t>
      </w:r>
      <w:r w:rsidRPr="003E1395">
        <w:rPr>
          <w:bCs/>
        </w:rPr>
        <w:t>Périphériques &amp; Numérisation</w:t>
      </w:r>
    </w:p>
    <w:p w14:paraId="776987AF" w14:textId="77777777" w:rsidR="00F26F81" w:rsidRPr="00DD5E64" w:rsidRDefault="00F26F81" w:rsidP="00F26F81">
      <w:pPr>
        <w:pStyle w:val="Paragraphedeliste"/>
        <w:tabs>
          <w:tab w:val="right" w:pos="7272"/>
        </w:tabs>
        <w:spacing w:after="200"/>
      </w:pPr>
      <w:r w:rsidRPr="003E1395">
        <w:rPr>
          <w:b/>
        </w:rPr>
        <w:t xml:space="preserve">Lot 5 : </w:t>
      </w:r>
      <w:r w:rsidRPr="00445F21">
        <w:t>Equipements de collaboration et salle</w:t>
      </w:r>
      <w:r>
        <w:t xml:space="preserve"> </w:t>
      </w:r>
    </w:p>
    <w:p w14:paraId="26873378" w14:textId="7175DC3E" w:rsidR="00F26F81" w:rsidRPr="00DD5E64" w:rsidRDefault="00F26F81" w:rsidP="00F26F81">
      <w:pPr>
        <w:numPr>
          <w:ilvl w:val="0"/>
          <w:numId w:val="1"/>
        </w:numPr>
        <w:spacing w:after="200"/>
        <w:ind w:left="0" w:firstLine="0"/>
        <w:jc w:val="both"/>
      </w:pPr>
      <w:r w:rsidRPr="00DD5E64">
        <w:t>La passation du Marché sera conduite par Mise en Concurrence internationale (AOI) tel que défini dans le « </w:t>
      </w:r>
      <w:r w:rsidRPr="00DD5E64">
        <w:rPr>
          <w:iCs/>
        </w:rPr>
        <w:t xml:space="preserve">Règlement de Passation des Marchés pour les Emprunteurs sollicitant le </w:t>
      </w:r>
      <w:r w:rsidRPr="00DD5E64">
        <w:rPr>
          <w:iCs/>
        </w:rPr>
        <w:lastRenderedPageBreak/>
        <w:t>Financement de Projets d’Investissement</w:t>
      </w:r>
      <w:r w:rsidRPr="00DD5E64">
        <w:t xml:space="preserve"> » de la Banque mondiale </w:t>
      </w:r>
      <w:r w:rsidRPr="00DD5E64">
        <w:rPr>
          <w:rFonts w:ascii="Arial Narrow" w:hAnsi="Arial Narrow"/>
        </w:rPr>
        <w:t xml:space="preserve">de juillet 2016 </w:t>
      </w:r>
      <w:r w:rsidRPr="00DD5E64">
        <w:rPr>
          <w:iCs/>
        </w:rPr>
        <w:t>révisé en novembre 2017, Août 2018, novembre 2020, septembre 2023</w:t>
      </w:r>
      <w:r w:rsidR="00CE1FE1">
        <w:rPr>
          <w:iCs/>
        </w:rPr>
        <w:t xml:space="preserve">, </w:t>
      </w:r>
      <w:r w:rsidRPr="00DD5E64">
        <w:rPr>
          <w:iCs/>
        </w:rPr>
        <w:t xml:space="preserve">Février 2025 </w:t>
      </w:r>
      <w:r w:rsidR="00CE1FE1">
        <w:rPr>
          <w:iCs/>
        </w:rPr>
        <w:t xml:space="preserve">et septembre </w:t>
      </w:r>
      <w:r w:rsidR="00CC33B6">
        <w:rPr>
          <w:iCs/>
        </w:rPr>
        <w:t>2025</w:t>
      </w:r>
      <w:r w:rsidR="00CC33B6" w:rsidRPr="00DD5E64">
        <w:rPr>
          <w:iCs/>
        </w:rPr>
        <w:t xml:space="preserve"> »</w:t>
      </w:r>
      <w:r w:rsidRPr="00DD5E64">
        <w:rPr>
          <w:iCs/>
        </w:rPr>
        <w:t>,</w:t>
      </w:r>
      <w:r w:rsidRPr="00DD5E64">
        <w:t xml:space="preserve"> et ouvert à tous les soumissionnaires de pays éligibles tels que définis dans ledit Règlement. </w:t>
      </w:r>
    </w:p>
    <w:p w14:paraId="2BCE55D7" w14:textId="3C755E4C" w:rsidR="00F26F81" w:rsidRPr="00DD5E64" w:rsidRDefault="00F26F81" w:rsidP="00F26F81">
      <w:pPr>
        <w:numPr>
          <w:ilvl w:val="0"/>
          <w:numId w:val="1"/>
        </w:numPr>
        <w:spacing w:after="200"/>
        <w:ind w:left="0" w:firstLine="0"/>
        <w:jc w:val="both"/>
        <w:rPr>
          <w:spacing w:val="-3"/>
        </w:rPr>
      </w:pPr>
      <w:r w:rsidRPr="00DD5E64">
        <w:rPr>
          <w:spacing w:val="-3"/>
        </w:rPr>
        <w:t>Les Offres</w:t>
      </w:r>
      <w:r w:rsidRPr="00DD5E64">
        <w:rPr>
          <w:spacing w:val="-3"/>
          <w:u w:val="single"/>
        </w:rPr>
        <w:t xml:space="preserve"> </w:t>
      </w:r>
      <w:r w:rsidRPr="00DD5E64">
        <w:rPr>
          <w:spacing w:val="-3"/>
        </w:rPr>
        <w:t xml:space="preserve">seront évaluées conformément au processus d'évaluation défini dans le dossier d'appel d'offres. Les pondérations suivantes s'appliqueront aux Critères notés (y compris les facteurs techniques et autres que le prix) : </w:t>
      </w:r>
      <w:r w:rsidR="00CE1FE1">
        <w:rPr>
          <w:spacing w:val="-3"/>
        </w:rPr>
        <w:t>6</w:t>
      </w:r>
      <w:r w:rsidRPr="00DD5E64">
        <w:rPr>
          <w:spacing w:val="-3"/>
        </w:rPr>
        <w:t>0%</w:t>
      </w:r>
      <w:r w:rsidRPr="00DD5E64">
        <w:rPr>
          <w:i/>
          <w:iCs/>
          <w:spacing w:val="-3"/>
        </w:rPr>
        <w:t xml:space="preserve"> </w:t>
      </w:r>
      <w:r w:rsidRPr="00DD5E64">
        <w:rPr>
          <w:spacing w:val="-3"/>
        </w:rPr>
        <w:t xml:space="preserve">et pour le coût de l'Offre : </w:t>
      </w:r>
      <w:r w:rsidR="00CE1FE1">
        <w:rPr>
          <w:iCs/>
          <w:spacing w:val="-3"/>
        </w:rPr>
        <w:t>4</w:t>
      </w:r>
      <w:r w:rsidRPr="00DD5E64">
        <w:rPr>
          <w:iCs/>
          <w:spacing w:val="-3"/>
        </w:rPr>
        <w:t>0%.</w:t>
      </w:r>
    </w:p>
    <w:p w14:paraId="25BFEB61" w14:textId="77777777" w:rsidR="00F26F81" w:rsidRPr="00DD5E64" w:rsidRDefault="00F26F81" w:rsidP="00F26F81">
      <w:pPr>
        <w:numPr>
          <w:ilvl w:val="0"/>
          <w:numId w:val="1"/>
        </w:numPr>
        <w:spacing w:after="200"/>
        <w:ind w:left="0" w:firstLine="0"/>
        <w:jc w:val="both"/>
      </w:pPr>
      <w:r w:rsidRPr="00DD5E64">
        <w:t xml:space="preserve">Les soumissionnaires éligibles et intéressés peuvent obtenir des informations auprès de </w:t>
      </w:r>
      <w:r w:rsidRPr="00DD5E64">
        <w:rPr>
          <w:color w:val="000000"/>
          <w:sz w:val="23"/>
          <w:szCs w:val="23"/>
          <w:lang w:eastAsia="en-US"/>
        </w:rPr>
        <w:t xml:space="preserve">l’Unité de Coordination des Projets financés par la Banque </w:t>
      </w:r>
      <w:r w:rsidRPr="003B36BD">
        <w:rPr>
          <w:color w:val="000000" w:themeColor="text1"/>
          <w:sz w:val="23"/>
          <w:szCs w:val="23"/>
          <w:lang w:eastAsia="en-US"/>
        </w:rPr>
        <w:t xml:space="preserve">mondiale : Email : </w:t>
      </w:r>
      <w:hyperlink r:id="rId9" w:history="1">
        <w:r w:rsidRPr="003B36BD">
          <w:rPr>
            <w:rStyle w:val="Lienhypertexte"/>
            <w:color w:val="000000" w:themeColor="text1"/>
            <w:sz w:val="23"/>
            <w:szCs w:val="23"/>
            <w:lang w:eastAsia="en-US"/>
          </w:rPr>
          <w:t>recrutement@pvi.ne</w:t>
        </w:r>
      </w:hyperlink>
      <w:r w:rsidRPr="003B36BD">
        <w:rPr>
          <w:color w:val="000000" w:themeColor="text1"/>
          <w:sz w:val="23"/>
          <w:szCs w:val="23"/>
          <w:lang w:eastAsia="en-US"/>
        </w:rPr>
        <w:t xml:space="preserve"> avec copie</w:t>
      </w:r>
      <w:r w:rsidRPr="003B36BD">
        <w:rPr>
          <w:color w:val="000000" w:themeColor="text1"/>
        </w:rPr>
        <w:t xml:space="preserve">  à </w:t>
      </w:r>
      <w:hyperlink r:id="rId10" w:history="1">
        <w:r w:rsidRPr="003B36BD">
          <w:rPr>
            <w:rStyle w:val="Lienhypertexte"/>
            <w:color w:val="000000" w:themeColor="text1"/>
          </w:rPr>
          <w:t>kache.harouna@pvi.ne</w:t>
        </w:r>
      </w:hyperlink>
      <w:r w:rsidRPr="003B36BD">
        <w:rPr>
          <w:color w:val="000000" w:themeColor="text1"/>
        </w:rPr>
        <w:t xml:space="preserve"> et </w:t>
      </w:r>
      <w:hyperlink r:id="rId11" w:history="1">
        <w:r w:rsidRPr="003B36BD">
          <w:rPr>
            <w:rStyle w:val="Lienhypertexte"/>
            <w:color w:val="000000" w:themeColor="text1"/>
          </w:rPr>
          <w:t>abba.fadai@pvi.ne</w:t>
        </w:r>
      </w:hyperlink>
      <w:r w:rsidRPr="003B36BD">
        <w:rPr>
          <w:color w:val="000000" w:themeColor="text1"/>
        </w:rPr>
        <w:t xml:space="preserve"> et prendre connaissance des documents d’Appel d’offres </w:t>
      </w:r>
      <w:r w:rsidRPr="003B36BD">
        <w:rPr>
          <w:color w:val="000000" w:themeColor="text1"/>
          <w:sz w:val="23"/>
          <w:szCs w:val="23"/>
        </w:rPr>
        <w:t>à l’adresse N°1 mentionnée ci-dessous, du lundi au jeudi</w:t>
      </w:r>
      <w:r w:rsidRPr="00DD5E64">
        <w:rPr>
          <w:sz w:val="23"/>
          <w:szCs w:val="23"/>
        </w:rPr>
        <w:t>, de 8 heures à 17 heures et le vendredi de 8 heures à 12 heures (GMT + 1)</w:t>
      </w:r>
    </w:p>
    <w:p w14:paraId="4EB5ACA6" w14:textId="77777777" w:rsidR="00F26F81" w:rsidRPr="00DD5E64" w:rsidRDefault="00F26F81" w:rsidP="00F26F81">
      <w:pPr>
        <w:numPr>
          <w:ilvl w:val="0"/>
          <w:numId w:val="1"/>
        </w:numPr>
        <w:spacing w:after="200"/>
        <w:ind w:left="0" w:firstLine="0"/>
        <w:jc w:val="both"/>
      </w:pPr>
      <w:r w:rsidRPr="00DD5E64">
        <w:t>Les Soumissionnaires intéressés et éligibles peuvent obtenir un dossier d’appel d’offres complet en français en formulant une demande écrite à l’adresse mentionnée ci-dessous et contre un paiement</w:t>
      </w:r>
      <w:r w:rsidRPr="00DD5E64">
        <w:rPr>
          <w:rStyle w:val="Appelnotedebasdep"/>
        </w:rPr>
        <w:footnoteReference w:id="1"/>
      </w:r>
      <w:r w:rsidRPr="00DD5E64">
        <w:t xml:space="preserve"> non remboursable de </w:t>
      </w:r>
      <w:r w:rsidRPr="00DD5E64">
        <w:rPr>
          <w:b/>
          <w:bCs/>
          <w:sz w:val="23"/>
          <w:szCs w:val="23"/>
        </w:rPr>
        <w:t xml:space="preserve">cent cinquante mille (150 000) francs CFA </w:t>
      </w:r>
      <w:r w:rsidRPr="00DD5E64">
        <w:rPr>
          <w:sz w:val="23"/>
          <w:szCs w:val="23"/>
        </w:rPr>
        <w:t>(ou équivalent dans une monnaie librement convertible)</w:t>
      </w:r>
      <w:r w:rsidRPr="00DD5E64">
        <w:t xml:space="preserve">. </w:t>
      </w:r>
      <w:r w:rsidRPr="00DD5E64">
        <w:rPr>
          <w:rFonts w:ascii="Arial Narrow" w:hAnsi="Arial Narrow"/>
        </w:rPr>
        <w:t xml:space="preserve"> </w:t>
      </w:r>
      <w:r w:rsidRPr="00DD5E64">
        <w:t>La méthode de paiement sera obligatoirement un versement ou transfert sur le compte bancaire suivant</w:t>
      </w:r>
      <w:r w:rsidRPr="00DD5E64">
        <w:rPr>
          <w:i/>
          <w:iCs/>
        </w:rPr>
        <w:t>.</w:t>
      </w:r>
      <w:r w:rsidRPr="00DD5E64">
        <w:t xml:space="preserve"> </w:t>
      </w:r>
    </w:p>
    <w:p w14:paraId="2AAD2FED" w14:textId="77777777" w:rsidR="00F26F81" w:rsidRPr="00DD5E64" w:rsidRDefault="00F26F81" w:rsidP="00F26F81">
      <w:pPr>
        <w:pStyle w:val="Paragraphedeliste"/>
      </w:pPr>
      <w:r w:rsidRPr="00DD5E64">
        <w:t>Nom de la banque : BSIC – NIGER</w:t>
      </w:r>
    </w:p>
    <w:p w14:paraId="511465D9" w14:textId="77777777" w:rsidR="00F26F81" w:rsidRPr="00DD5E64" w:rsidRDefault="00F26F81" w:rsidP="00F26F81">
      <w:pPr>
        <w:pStyle w:val="Paragraphedeliste"/>
      </w:pPr>
      <w:r w:rsidRPr="00DD5E64">
        <w:t>N° de compte : 00100118682</w:t>
      </w:r>
    </w:p>
    <w:p w14:paraId="16940C01" w14:textId="77777777" w:rsidR="00F26F81" w:rsidRPr="00DD5E64" w:rsidRDefault="00F26F81" w:rsidP="00F26F81">
      <w:pPr>
        <w:pStyle w:val="Paragraphedeliste"/>
      </w:pPr>
      <w:r w:rsidRPr="00DD5E64">
        <w:t>Code guichet : 01001</w:t>
      </w:r>
    </w:p>
    <w:p w14:paraId="489D317E" w14:textId="77777777" w:rsidR="00F26F81" w:rsidRPr="00DD5E64" w:rsidRDefault="00F26F81" w:rsidP="00F26F81">
      <w:pPr>
        <w:pStyle w:val="Paragraphedeliste"/>
      </w:pPr>
      <w:r w:rsidRPr="00DD5E64">
        <w:t>Code banque : NE110</w:t>
      </w:r>
    </w:p>
    <w:p w14:paraId="51809247" w14:textId="77777777" w:rsidR="00F26F81" w:rsidRPr="00DD5E64" w:rsidRDefault="00F26F81" w:rsidP="00F26F81">
      <w:pPr>
        <w:pStyle w:val="Paragraphedeliste"/>
      </w:pPr>
      <w:r w:rsidRPr="00DD5E64">
        <w:t>Code Swift : BSAHENENI</w:t>
      </w:r>
    </w:p>
    <w:p w14:paraId="4C789006" w14:textId="77777777" w:rsidR="00F26F81" w:rsidRPr="00DD5E64" w:rsidRDefault="00F26F81" w:rsidP="00F26F81">
      <w:pPr>
        <w:spacing w:after="200"/>
        <w:jc w:val="both"/>
      </w:pPr>
      <w:r w:rsidRPr="00DD5E64">
        <w:t xml:space="preserve">            Clé RIB : 51</w:t>
      </w:r>
    </w:p>
    <w:p w14:paraId="483A150A" w14:textId="77777777" w:rsidR="00F26F81" w:rsidRPr="00DD5E64" w:rsidRDefault="00F26F81" w:rsidP="00F26F81">
      <w:pPr>
        <w:spacing w:after="200"/>
        <w:jc w:val="both"/>
      </w:pPr>
      <w:r w:rsidRPr="00DD5E64">
        <w:t>Le document d’appel d’offres sera adressé par voie électronique</w:t>
      </w:r>
      <w:r w:rsidRPr="00DD5E64">
        <w:rPr>
          <w:sz w:val="23"/>
          <w:szCs w:val="23"/>
        </w:rPr>
        <w:t>. Le dossier d’appel d’offres peut être aussi retiré directement par le fournisseur auprès de l'acheteur ou pourra sur demande être envoyé par courrier express et après payement en avance des frais d’acquisition et d’expédition.</w:t>
      </w:r>
    </w:p>
    <w:p w14:paraId="7745F8D2" w14:textId="032BA48B" w:rsidR="00F26F81" w:rsidRPr="00EA3887" w:rsidRDefault="00F26F81" w:rsidP="00F26F81">
      <w:pPr>
        <w:numPr>
          <w:ilvl w:val="0"/>
          <w:numId w:val="1"/>
        </w:numPr>
        <w:spacing w:after="200"/>
        <w:ind w:left="0" w:firstLine="0"/>
        <w:jc w:val="both"/>
      </w:pPr>
      <w:r w:rsidRPr="00EA3887">
        <w:t>Les offres devront être soumises à l’adresse ci-dessous</w:t>
      </w:r>
      <w:r w:rsidRPr="00EA3887">
        <w:rPr>
          <w:i/>
          <w:iCs/>
        </w:rPr>
        <w:t xml:space="preserve"> </w:t>
      </w:r>
      <w:r w:rsidRPr="00EA3887">
        <w:t xml:space="preserve">au plus tard </w:t>
      </w:r>
      <w:r w:rsidRPr="00EA3887">
        <w:rPr>
          <w:b/>
          <w:color w:val="000000" w:themeColor="text1"/>
        </w:rPr>
        <w:t>le</w:t>
      </w:r>
      <w:r w:rsidRPr="00EA3887">
        <w:rPr>
          <w:color w:val="000000" w:themeColor="text1"/>
        </w:rPr>
        <w:t xml:space="preserve"> </w:t>
      </w:r>
      <w:r w:rsidR="00EA3887" w:rsidRPr="00EA3887">
        <w:rPr>
          <w:b/>
          <w:color w:val="000000" w:themeColor="text1"/>
        </w:rPr>
        <w:t>Mercredi</w:t>
      </w:r>
      <w:r w:rsidR="000726BF" w:rsidRPr="00EA3887">
        <w:rPr>
          <w:b/>
          <w:color w:val="000000" w:themeColor="text1"/>
        </w:rPr>
        <w:t xml:space="preserve"> </w:t>
      </w:r>
      <w:r w:rsidR="00EA3887" w:rsidRPr="00EA3887">
        <w:rPr>
          <w:b/>
          <w:iCs/>
        </w:rPr>
        <w:t>25</w:t>
      </w:r>
      <w:r w:rsidR="00CC33B6" w:rsidRPr="00EA3887">
        <w:rPr>
          <w:b/>
          <w:iCs/>
        </w:rPr>
        <w:t xml:space="preserve"> Mars 2026 </w:t>
      </w:r>
      <w:r w:rsidR="00275B54" w:rsidRPr="00EA3887">
        <w:rPr>
          <w:b/>
          <w:iCs/>
        </w:rPr>
        <w:t xml:space="preserve">à 9 heures </w:t>
      </w:r>
      <w:r w:rsidR="00F1276D" w:rsidRPr="00EA3887">
        <w:rPr>
          <w:b/>
          <w:iCs/>
        </w:rPr>
        <w:t xml:space="preserve">00 mn </w:t>
      </w:r>
      <w:r w:rsidR="00275B54" w:rsidRPr="00EA3887">
        <w:rPr>
          <w:b/>
          <w:iCs/>
        </w:rPr>
        <w:t>heure locale (GMT+1)</w:t>
      </w:r>
      <w:r w:rsidRPr="00EA3887">
        <w:t xml:space="preserve">. La soumission des offres par voie électronique </w:t>
      </w:r>
      <w:r w:rsidRPr="00EA3887">
        <w:rPr>
          <w:i/>
          <w:iCs/>
        </w:rPr>
        <w:t>est</w:t>
      </w:r>
      <w:r w:rsidRPr="00EA3887">
        <w:t xml:space="preserve"> autorisée. Les offres remises en retard ne seront pas acceptées. Les enveloppes extérieures des Offres marquées « OFFRE ORIGINALE », et les enveloppes intérieures marquées « PARTIE TECHNIQUE » seront ouvertes publiquement en présence des représentants des Soumissionnaires et de toute personne choisissant d’être présente à l’adresse mentionnée ci-dessous </w:t>
      </w:r>
      <w:r w:rsidR="000726BF" w:rsidRPr="00EA3887">
        <w:t>au point 10</w:t>
      </w:r>
      <w:r w:rsidRPr="00EA3887">
        <w:t xml:space="preserve"> </w:t>
      </w:r>
      <w:r w:rsidR="000726BF" w:rsidRPr="00EA3887">
        <w:rPr>
          <w:b/>
          <w:color w:val="000000" w:themeColor="text1"/>
        </w:rPr>
        <w:t>le</w:t>
      </w:r>
      <w:r w:rsidR="000726BF" w:rsidRPr="00EA3887">
        <w:rPr>
          <w:color w:val="000000" w:themeColor="text1"/>
        </w:rPr>
        <w:t xml:space="preserve"> </w:t>
      </w:r>
      <w:r w:rsidR="00EA3887" w:rsidRPr="00EA3887">
        <w:rPr>
          <w:b/>
          <w:color w:val="000000" w:themeColor="text1"/>
        </w:rPr>
        <w:t>Mercredi</w:t>
      </w:r>
      <w:r w:rsidR="000726BF" w:rsidRPr="00EA3887">
        <w:rPr>
          <w:b/>
          <w:color w:val="000000" w:themeColor="text1"/>
        </w:rPr>
        <w:t xml:space="preserve"> </w:t>
      </w:r>
      <w:r w:rsidR="00EA3887" w:rsidRPr="00EA3887">
        <w:rPr>
          <w:b/>
          <w:iCs/>
        </w:rPr>
        <w:t>25</w:t>
      </w:r>
      <w:r w:rsidR="000726BF" w:rsidRPr="00EA3887">
        <w:rPr>
          <w:b/>
          <w:iCs/>
        </w:rPr>
        <w:t xml:space="preserve"> </w:t>
      </w:r>
      <w:r w:rsidR="00CC33B6" w:rsidRPr="00EA3887">
        <w:rPr>
          <w:b/>
          <w:iCs/>
        </w:rPr>
        <w:t>Mars</w:t>
      </w:r>
      <w:r w:rsidR="000726BF" w:rsidRPr="00EA3887">
        <w:rPr>
          <w:b/>
          <w:iCs/>
        </w:rPr>
        <w:t xml:space="preserve"> 202</w:t>
      </w:r>
      <w:r w:rsidR="00CC33B6" w:rsidRPr="00EA3887">
        <w:rPr>
          <w:b/>
          <w:iCs/>
        </w:rPr>
        <w:t>6</w:t>
      </w:r>
      <w:r w:rsidR="000726BF" w:rsidRPr="00EA3887">
        <w:rPr>
          <w:b/>
          <w:iCs/>
        </w:rPr>
        <w:t xml:space="preserve"> à 10 heures 00 mn heure locale (GMT+1)</w:t>
      </w:r>
      <w:r w:rsidRPr="00EA3887">
        <w:rPr>
          <w:i/>
          <w:iCs/>
        </w:rPr>
        <w:t>.</w:t>
      </w:r>
      <w:r w:rsidRPr="00EA3887">
        <w:t xml:space="preserve"> Toutes les enveloppes marquées « PARTIE FINANCIERE » devront rester non ouvertes et seront conservées en un lieu sûr par l’Acheteur jusqu’à la deuxième ouverture publique. </w:t>
      </w:r>
    </w:p>
    <w:p w14:paraId="52678879" w14:textId="77777777" w:rsidR="00F26F81" w:rsidRPr="00DD5E64" w:rsidRDefault="00F26F81" w:rsidP="00F26F81">
      <w:pPr>
        <w:spacing w:after="200"/>
        <w:jc w:val="both"/>
      </w:pPr>
      <w:r w:rsidRPr="00DD5E64">
        <w:t xml:space="preserve">Toutes les offres doivent comprendre </w:t>
      </w:r>
      <w:r w:rsidRPr="000726BF">
        <w:rPr>
          <w:b/>
          <w:iCs/>
        </w:rPr>
        <w:t>une Déclaration de Garantie de l’Offre</w:t>
      </w:r>
    </w:p>
    <w:p w14:paraId="68EB7148" w14:textId="26E13DBF" w:rsidR="00F26F81" w:rsidRPr="00DD5E64" w:rsidRDefault="00F26F81" w:rsidP="00F26F81">
      <w:pPr>
        <w:rPr>
          <w:color w:val="000000"/>
          <w:lang w:eastAsia="en-US"/>
        </w:rPr>
      </w:pPr>
      <w:r w:rsidRPr="00DD5E64">
        <w:rPr>
          <w:color w:val="000000"/>
          <w:lang w:eastAsia="en-US"/>
        </w:rPr>
        <w:t>8</w:t>
      </w:r>
      <w:r w:rsidR="00E40BEC">
        <w:rPr>
          <w:color w:val="000000"/>
          <w:lang w:eastAsia="en-US"/>
        </w:rPr>
        <w:t>.</w:t>
      </w:r>
      <w:r w:rsidRPr="00DD5E64">
        <w:rPr>
          <w:color w:val="000000"/>
          <w:lang w:eastAsia="en-US"/>
        </w:rPr>
        <w:t xml:space="preserve">   Procédure d’ouverture des offres par voie électronique. </w:t>
      </w:r>
    </w:p>
    <w:p w14:paraId="2B65C381" w14:textId="77777777" w:rsidR="00F26F81" w:rsidRPr="00DD5E64" w:rsidRDefault="00F26F81" w:rsidP="00F26F81">
      <w:pPr>
        <w:rPr>
          <w:color w:val="000000"/>
          <w:lang w:eastAsia="en-US"/>
        </w:rPr>
      </w:pPr>
    </w:p>
    <w:p w14:paraId="7A09F85D" w14:textId="77777777" w:rsidR="00F26F81" w:rsidRPr="00DD5E64" w:rsidRDefault="00F26F81" w:rsidP="00F26F81">
      <w:pPr>
        <w:pStyle w:val="Paragraphedeliste"/>
        <w:ind w:left="0"/>
        <w:rPr>
          <w:color w:val="000000"/>
        </w:rPr>
      </w:pPr>
      <w:r w:rsidRPr="00DD5E64">
        <w:rPr>
          <w:color w:val="000000"/>
        </w:rPr>
        <w:t xml:space="preserve">Le Soumissionnaire </w:t>
      </w:r>
      <w:r w:rsidRPr="000726BF">
        <w:rPr>
          <w:bCs/>
          <w:color w:val="000000"/>
        </w:rPr>
        <w:t>aura</w:t>
      </w:r>
      <w:r w:rsidRPr="00DD5E64">
        <w:rPr>
          <w:b/>
          <w:bCs/>
          <w:color w:val="000000"/>
        </w:rPr>
        <w:t xml:space="preserve"> </w:t>
      </w:r>
      <w:r w:rsidRPr="00DD5E64">
        <w:rPr>
          <w:color w:val="000000"/>
        </w:rPr>
        <w:t xml:space="preserve">l’option de soumettre son offre par voie électronique. </w:t>
      </w:r>
    </w:p>
    <w:p w14:paraId="6B89F315" w14:textId="77777777" w:rsidR="00F26F81" w:rsidRPr="00DD5E64" w:rsidRDefault="00F26F81" w:rsidP="00F26F81">
      <w:pPr>
        <w:pStyle w:val="Paragraphedeliste"/>
        <w:ind w:left="0"/>
        <w:rPr>
          <w:color w:val="000000"/>
        </w:rPr>
      </w:pPr>
      <w:r w:rsidRPr="00DD5E64">
        <w:rPr>
          <w:color w:val="000000"/>
        </w:rPr>
        <w:t xml:space="preserve">Le soumissionnaire pourra procéder à la remise de son offre par courrier électronique dans les conditions ci-après : </w:t>
      </w:r>
    </w:p>
    <w:p w14:paraId="263F4AAA" w14:textId="77777777" w:rsidR="00F26F81" w:rsidRPr="003B36BD" w:rsidRDefault="00F26F81" w:rsidP="00F26F81">
      <w:pPr>
        <w:pStyle w:val="Paragraphedeliste"/>
        <w:ind w:left="0"/>
        <w:rPr>
          <w:color w:val="000000" w:themeColor="text1"/>
        </w:rPr>
      </w:pPr>
      <w:r w:rsidRPr="00DD5E64">
        <w:rPr>
          <w:color w:val="000000"/>
        </w:rPr>
        <w:lastRenderedPageBreak/>
        <w:t xml:space="preserve">a) Pour la soumission des propositions, les soumissionnaires enverront (avant l’heure limite de dépôt des offres) leur </w:t>
      </w:r>
      <w:r w:rsidRPr="00DD5E64">
        <w:rPr>
          <w:b/>
          <w:bCs/>
          <w:color w:val="000000"/>
        </w:rPr>
        <w:t xml:space="preserve">Offre Technique </w:t>
      </w:r>
      <w:r w:rsidRPr="00DD5E64">
        <w:rPr>
          <w:color w:val="000000"/>
        </w:rPr>
        <w:t xml:space="preserve">et leur </w:t>
      </w:r>
      <w:r w:rsidRPr="00DD5E64">
        <w:rPr>
          <w:b/>
          <w:bCs/>
          <w:color w:val="000000"/>
        </w:rPr>
        <w:t xml:space="preserve">Offre Financière </w:t>
      </w:r>
      <w:r w:rsidRPr="00DD5E64">
        <w:rPr>
          <w:color w:val="000000"/>
        </w:rPr>
        <w:t xml:space="preserve">par courrier électronique (e-mail) en pièces jointes protégés par deux mots de passe distincts, aux adresses électroniques suivantes : </w:t>
      </w:r>
      <w:hyperlink r:id="rId12" w:history="1">
        <w:r w:rsidRPr="003B36BD">
          <w:rPr>
            <w:rStyle w:val="Lienhypertexte"/>
            <w:color w:val="000000" w:themeColor="text1"/>
            <w:sz w:val="23"/>
            <w:szCs w:val="23"/>
          </w:rPr>
          <w:t>recrutement@pvi.ne</w:t>
        </w:r>
      </w:hyperlink>
      <w:r w:rsidRPr="003B36BD">
        <w:rPr>
          <w:color w:val="000000" w:themeColor="text1"/>
          <w:sz w:val="23"/>
          <w:szCs w:val="23"/>
        </w:rPr>
        <w:t xml:space="preserve"> avec copie</w:t>
      </w:r>
      <w:r w:rsidRPr="003B36BD">
        <w:rPr>
          <w:color w:val="000000" w:themeColor="text1"/>
        </w:rPr>
        <w:t xml:space="preserve">  à </w:t>
      </w:r>
      <w:hyperlink r:id="rId13" w:history="1">
        <w:r w:rsidRPr="003B36BD">
          <w:rPr>
            <w:rStyle w:val="Lienhypertexte"/>
            <w:color w:val="000000" w:themeColor="text1"/>
          </w:rPr>
          <w:t>kache.harouna@pvi.ne</w:t>
        </w:r>
      </w:hyperlink>
      <w:r w:rsidRPr="003B36BD">
        <w:rPr>
          <w:color w:val="000000" w:themeColor="text1"/>
        </w:rPr>
        <w:t xml:space="preserve"> et </w:t>
      </w:r>
      <w:hyperlink r:id="rId14" w:history="1">
        <w:r w:rsidRPr="003B36BD">
          <w:rPr>
            <w:rStyle w:val="Lienhypertexte"/>
            <w:color w:val="000000" w:themeColor="text1"/>
          </w:rPr>
          <w:t>abba.fadai@pvi.ne</w:t>
        </w:r>
      </w:hyperlink>
      <w:r w:rsidRPr="003B36BD">
        <w:rPr>
          <w:color w:val="000000" w:themeColor="text1"/>
        </w:rPr>
        <w:t xml:space="preserve">. </w:t>
      </w:r>
    </w:p>
    <w:p w14:paraId="65203419" w14:textId="77777777" w:rsidR="00F26F81" w:rsidRPr="00DD5E64" w:rsidRDefault="00F26F81" w:rsidP="00F26F81">
      <w:pPr>
        <w:pStyle w:val="Paragraphedeliste"/>
        <w:ind w:left="0"/>
        <w:rPr>
          <w:color w:val="000000"/>
        </w:rPr>
      </w:pPr>
      <w:r w:rsidRPr="00DD5E64">
        <w:rPr>
          <w:color w:val="000000"/>
        </w:rPr>
        <w:t xml:space="preserve">b) Les soumissionnaires enverront pour l’offre technique et l’offre financière : (1) une version « originale » en format PDF non modifiable, et (2) une version « copie » éditable (Excel/Word) pour en faciliter l’exploitation pendant l’évaluation des offres. Le mot de passe de l’offre technique doit être différent de celui de l’offre financière. </w:t>
      </w:r>
    </w:p>
    <w:p w14:paraId="1F7B82D8" w14:textId="77777777" w:rsidR="00F26F81" w:rsidRPr="00DD5E64" w:rsidRDefault="00F26F81" w:rsidP="00F26F81">
      <w:pPr>
        <w:pStyle w:val="Paragraphedeliste"/>
        <w:ind w:left="0"/>
        <w:rPr>
          <w:color w:val="000000"/>
        </w:rPr>
      </w:pPr>
      <w:r w:rsidRPr="00DD5E64">
        <w:rPr>
          <w:color w:val="000000"/>
        </w:rPr>
        <w:t xml:space="preserve">c) Le mot de passe de l’offre financière sera envoyé uniquement au moment de l’ouverture </w:t>
      </w:r>
      <w:r w:rsidRPr="00DD5E64">
        <w:rPr>
          <w:b/>
          <w:bCs/>
          <w:color w:val="000000"/>
        </w:rPr>
        <w:t xml:space="preserve">des offres financières. </w:t>
      </w:r>
      <w:r w:rsidRPr="00DD5E64">
        <w:rPr>
          <w:color w:val="000000"/>
        </w:rPr>
        <w:t xml:space="preserve">La date de l’ouverture des offres financières sera fixée par le Client et notifiée aux soumissionnaires dont les offres ont été retenues à l’issue de l’évaluation de leur offre technique. </w:t>
      </w:r>
    </w:p>
    <w:p w14:paraId="60575130" w14:textId="77777777" w:rsidR="00F26F81" w:rsidRPr="00DD5E64" w:rsidRDefault="00F26F81" w:rsidP="00F26F81">
      <w:pPr>
        <w:rPr>
          <w:color w:val="000000"/>
          <w:lang w:eastAsia="en-US"/>
        </w:rPr>
      </w:pPr>
      <w:r w:rsidRPr="00DD5E64">
        <w:rPr>
          <w:color w:val="000000"/>
          <w:lang w:eastAsia="en-US"/>
        </w:rPr>
        <w:t xml:space="preserve">d) Les soumissionnaires et le Client devront, chacun de son côté, vérifier dans leurs boîtes de réception e-mail et dans les boîtes SPAM, la réception des documents électroniques de l’Appel d’Offre, ou des offres électroniques, ainsi que de toute communication connexe. </w:t>
      </w:r>
    </w:p>
    <w:p w14:paraId="10D28B89" w14:textId="77777777" w:rsidR="00F26F81" w:rsidRPr="00DD5E64" w:rsidRDefault="00F26F81" w:rsidP="00F26F81">
      <w:pPr>
        <w:rPr>
          <w:color w:val="000000"/>
          <w:lang w:eastAsia="en-US"/>
        </w:rPr>
      </w:pPr>
      <w:r w:rsidRPr="00DD5E64">
        <w:rPr>
          <w:color w:val="000000"/>
          <w:lang w:eastAsia="en-US"/>
        </w:rPr>
        <w:t xml:space="preserve">e) Le Client confirmera la réception de chaque offre par e-mail à défaut les soumissionnaires doivent en exiger. </w:t>
      </w:r>
    </w:p>
    <w:p w14:paraId="783FCC3A" w14:textId="77777777" w:rsidR="00F26F81" w:rsidRPr="00DD5E64" w:rsidRDefault="00F26F81" w:rsidP="00F26F81">
      <w:pPr>
        <w:rPr>
          <w:color w:val="000000"/>
          <w:lang w:eastAsia="en-US"/>
        </w:rPr>
      </w:pPr>
      <w:r w:rsidRPr="00DD5E64">
        <w:rPr>
          <w:color w:val="000000"/>
          <w:lang w:eastAsia="en-US"/>
        </w:rPr>
        <w:t xml:space="preserve">f) Les propositions ne peuvent être ouvertes avant l'heure fixée pour l'ouverture des propositions indiquées. </w:t>
      </w:r>
    </w:p>
    <w:p w14:paraId="428AB585" w14:textId="77777777" w:rsidR="00F26F81" w:rsidRPr="00DD5E64" w:rsidRDefault="00F26F81" w:rsidP="00F26F81">
      <w:pPr>
        <w:rPr>
          <w:color w:val="000000"/>
          <w:lang w:eastAsia="en-US"/>
        </w:rPr>
      </w:pPr>
      <w:r w:rsidRPr="00DD5E64">
        <w:rPr>
          <w:color w:val="000000"/>
          <w:lang w:eastAsia="en-US"/>
        </w:rPr>
        <w:t xml:space="preserve">g) Les documents originaux peuvent être demandés dans le cadre du processus d'évaluation et seront vérifiés par le Client avant la signature du Marché. </w:t>
      </w:r>
    </w:p>
    <w:p w14:paraId="5E62913F" w14:textId="77777777" w:rsidR="00F26F81" w:rsidRPr="00DD5E64" w:rsidRDefault="00F26F81" w:rsidP="00F26F81">
      <w:pPr>
        <w:rPr>
          <w:color w:val="000000"/>
          <w:lang w:eastAsia="en-US"/>
        </w:rPr>
      </w:pPr>
      <w:r w:rsidRPr="00DD5E64">
        <w:rPr>
          <w:color w:val="000000"/>
          <w:lang w:eastAsia="en-US"/>
        </w:rPr>
        <w:t xml:space="preserve">h) </w:t>
      </w:r>
      <w:r w:rsidRPr="005F22ED">
        <w:rPr>
          <w:bCs/>
          <w:color w:val="000000"/>
          <w:lang w:eastAsia="en-US"/>
        </w:rPr>
        <w:t>Le procès-verbal d'ouverture des propositions sera partagé avec tous les soumissionnaires par courrier électronique</w:t>
      </w:r>
      <w:r w:rsidRPr="00DD5E64">
        <w:rPr>
          <w:b/>
          <w:bCs/>
          <w:color w:val="000000"/>
          <w:lang w:eastAsia="en-US"/>
        </w:rPr>
        <w:t xml:space="preserve">. </w:t>
      </w:r>
    </w:p>
    <w:p w14:paraId="066B073D" w14:textId="77777777" w:rsidR="00F26F81" w:rsidRPr="00DD5E64" w:rsidRDefault="00F26F81" w:rsidP="00F26F81">
      <w:pPr>
        <w:spacing w:after="200"/>
      </w:pPr>
      <w:r w:rsidRPr="00DD5E64">
        <w:rPr>
          <w:color w:val="000000"/>
          <w:lang w:eastAsia="en-US"/>
        </w:rPr>
        <w:t>i) Les représentants des soumissionnaires peuvent néanmoins assister physiquement à la séance d’ouverture des offres. Ceux qui ne peuvent pas y assister en personne pourront se joindre virtuellement dans la mesure où les facilités techniques du Client le permettent. À la réception d'une demande de présence virtuelle, le soumissionnaire recevra du Client les détails de la connexion qui sera éventuellement mise en place (Visio ou Audioconférence).</w:t>
      </w:r>
    </w:p>
    <w:p w14:paraId="53017179" w14:textId="77777777" w:rsidR="00F26F81" w:rsidRPr="00DD5E64" w:rsidRDefault="00F26F81" w:rsidP="00F26F81">
      <w:pPr>
        <w:pStyle w:val="Paragraphedeliste"/>
        <w:numPr>
          <w:ilvl w:val="0"/>
          <w:numId w:val="9"/>
        </w:numPr>
        <w:tabs>
          <w:tab w:val="left" w:pos="0"/>
        </w:tabs>
        <w:suppressAutoHyphens/>
        <w:overflowPunct w:val="0"/>
        <w:autoSpaceDE w:val="0"/>
        <w:autoSpaceDN w:val="0"/>
        <w:adjustRightInd w:val="0"/>
        <w:spacing w:before="240" w:after="240"/>
        <w:jc w:val="both"/>
        <w:textAlignment w:val="baseline"/>
        <w:rPr>
          <w:spacing w:val="-2"/>
        </w:rPr>
      </w:pPr>
      <w:bookmarkStart w:id="1" w:name="_Hlk100069864"/>
      <w:r w:rsidRPr="00DD5E64">
        <w:rPr>
          <w:spacing w:val="-2"/>
        </w:rPr>
        <w:t>L’attention est attirée sur le Règlement de Passation de Marchés exigeant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p>
    <w:bookmarkEnd w:id="1"/>
    <w:p w14:paraId="796AFF47" w14:textId="77777777" w:rsidR="00F26F81" w:rsidRPr="00DD5E64" w:rsidRDefault="00F26F81" w:rsidP="00F26F81">
      <w:pPr>
        <w:numPr>
          <w:ilvl w:val="0"/>
          <w:numId w:val="9"/>
        </w:numPr>
        <w:suppressAutoHyphens/>
        <w:spacing w:before="240" w:after="120"/>
        <w:ind w:left="567" w:hanging="567"/>
        <w:jc w:val="both"/>
      </w:pPr>
      <w:r w:rsidRPr="00DD5E64">
        <w:t xml:space="preserve">L’adresse à laquelle il est fait référence ci-dessus est : </w:t>
      </w:r>
    </w:p>
    <w:p w14:paraId="15971A4F" w14:textId="361E0E26" w:rsidR="00951415" w:rsidRPr="001C1188" w:rsidRDefault="00CE1FE1" w:rsidP="00951415">
      <w:pPr>
        <w:contextualSpacing/>
      </w:pPr>
      <w:r>
        <w:rPr>
          <w:b/>
          <w:bCs/>
          <w:color w:val="000000"/>
          <w:shd w:val="clear" w:color="auto" w:fill="FFFFFF"/>
        </w:rPr>
        <w:t>Projet Villages Intelligents pour la Croissance Rurale et l'Inclusion Numérique (PVI) - </w:t>
      </w:r>
      <w:r>
        <w:rPr>
          <w:color w:val="000000"/>
          <w:shd w:val="clear" w:color="auto" w:fill="FFFFFF"/>
        </w:rPr>
        <w:t>Unité de Gestion du Projet (UGP) Sis – 1</w:t>
      </w:r>
      <w:r>
        <w:rPr>
          <w:color w:val="000000"/>
          <w:sz w:val="18"/>
          <w:szCs w:val="18"/>
          <w:bdr w:val="none" w:sz="0" w:space="0" w:color="auto" w:frame="1"/>
          <w:shd w:val="clear" w:color="auto" w:fill="FFFFFF"/>
          <w:vertAlign w:val="superscript"/>
        </w:rPr>
        <w:t>er</w:t>
      </w:r>
      <w:r>
        <w:rPr>
          <w:color w:val="000000"/>
          <w:shd w:val="clear" w:color="auto" w:fill="FFFFFF"/>
        </w:rPr>
        <w:t> virage à gauche après la Nouvelle Cite EAMAC, puis 1</w:t>
      </w:r>
      <w:r>
        <w:rPr>
          <w:color w:val="000000"/>
          <w:sz w:val="18"/>
          <w:szCs w:val="18"/>
          <w:bdr w:val="none" w:sz="0" w:space="0" w:color="auto" w:frame="1"/>
          <w:shd w:val="clear" w:color="auto" w:fill="FFFFFF"/>
          <w:vertAlign w:val="superscript"/>
        </w:rPr>
        <w:t>er</w:t>
      </w:r>
      <w:r>
        <w:rPr>
          <w:color w:val="000000"/>
          <w:shd w:val="clear" w:color="auto" w:fill="FFFFFF"/>
        </w:rPr>
        <w:t> virage à droite, </w:t>
      </w:r>
      <w:r>
        <w:rPr>
          <w:rStyle w:val="lev"/>
          <w:color w:val="000000"/>
          <w:bdr w:val="none" w:sz="0" w:space="0" w:color="auto" w:frame="1"/>
          <w:shd w:val="clear" w:color="auto" w:fill="FFFFFF"/>
        </w:rPr>
        <w:t>BP</w:t>
      </w:r>
      <w:r>
        <w:rPr>
          <w:color w:val="000000"/>
          <w:shd w:val="clear" w:color="auto" w:fill="FFFFFF"/>
        </w:rPr>
        <w:t> : 11 968– </w:t>
      </w:r>
      <w:r>
        <w:rPr>
          <w:b/>
          <w:bCs/>
          <w:color w:val="000000"/>
          <w:shd w:val="clear" w:color="auto" w:fill="FFFFFF"/>
        </w:rPr>
        <w:t>Tél</w:t>
      </w:r>
      <w:r>
        <w:rPr>
          <w:color w:val="000000"/>
          <w:shd w:val="clear" w:color="auto" w:fill="FFFFFF"/>
        </w:rPr>
        <w:t> : + 227 20 35 35 16   </w:t>
      </w:r>
      <w:r>
        <w:rPr>
          <w:b/>
          <w:bCs/>
          <w:color w:val="000000"/>
          <w:shd w:val="clear" w:color="auto" w:fill="FFFFFF"/>
        </w:rPr>
        <w:t>Email </w:t>
      </w:r>
      <w:r>
        <w:rPr>
          <w:color w:val="000000"/>
          <w:shd w:val="clear" w:color="auto" w:fill="FFFFFF"/>
        </w:rPr>
        <w:t>: </w:t>
      </w:r>
      <w:hyperlink r:id="rId15" w:history="1">
        <w:r>
          <w:rPr>
            <w:rStyle w:val="Lienhypertexte"/>
            <w:color w:val="0073EC"/>
            <w:shd w:val="clear" w:color="auto" w:fill="FFFFFF"/>
          </w:rPr>
          <w:t>recrutement@pvi.ne</w:t>
        </w:r>
      </w:hyperlink>
    </w:p>
    <w:p w14:paraId="60D90CBC" w14:textId="290509C0" w:rsidR="00951415" w:rsidRDefault="00951415" w:rsidP="00D81EBE">
      <w:pPr>
        <w:spacing w:before="120" w:after="120"/>
        <w:jc w:val="both"/>
      </w:pPr>
      <w:r w:rsidRPr="001C1188">
        <w:t xml:space="preserve"> </w:t>
      </w:r>
    </w:p>
    <w:p w14:paraId="36BEB149" w14:textId="50766910" w:rsidR="00842A88" w:rsidRPr="00A64B87" w:rsidRDefault="00A64B87" w:rsidP="00236AF6">
      <w:pPr>
        <w:jc w:val="center"/>
        <w:rPr>
          <w:b/>
          <w:bCs/>
        </w:rPr>
      </w:pPr>
      <w:r w:rsidRPr="00A64B87">
        <w:rPr>
          <w:b/>
          <w:bCs/>
        </w:rPr>
        <w:t xml:space="preserve">Le </w:t>
      </w:r>
      <w:r w:rsidR="00E40BEC">
        <w:rPr>
          <w:b/>
          <w:bCs/>
        </w:rPr>
        <w:t>Coordonnateur</w:t>
      </w:r>
    </w:p>
    <w:p w14:paraId="4CA41735" w14:textId="77777777" w:rsidR="00842A88" w:rsidRDefault="00842A88" w:rsidP="00236AF6">
      <w:pPr>
        <w:jc w:val="center"/>
        <w:rPr>
          <w:b/>
          <w:bCs/>
          <w:sz w:val="44"/>
          <w:szCs w:val="44"/>
        </w:rPr>
      </w:pPr>
    </w:p>
    <w:sectPr w:rsidR="00842A88" w:rsidSect="00C22B1B">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B42F" w14:textId="77777777" w:rsidR="00B672A2" w:rsidRDefault="00B672A2" w:rsidP="00DE4B92">
      <w:r>
        <w:separator/>
      </w:r>
    </w:p>
  </w:endnote>
  <w:endnote w:type="continuationSeparator" w:id="0">
    <w:p w14:paraId="19ED956F" w14:textId="77777777" w:rsidR="00B672A2" w:rsidRDefault="00B672A2" w:rsidP="00DE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FE11" w14:textId="77777777" w:rsidR="005F0169" w:rsidRDefault="005F0169">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FFC213B" w14:textId="77777777" w:rsidR="00DE4B92" w:rsidRDefault="00DE4B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9CEB" w14:textId="77777777" w:rsidR="00B672A2" w:rsidRDefault="00B672A2" w:rsidP="00DE4B92">
      <w:r>
        <w:separator/>
      </w:r>
    </w:p>
  </w:footnote>
  <w:footnote w:type="continuationSeparator" w:id="0">
    <w:p w14:paraId="31DAA9F9" w14:textId="77777777" w:rsidR="00B672A2" w:rsidRDefault="00B672A2" w:rsidP="00DE4B92">
      <w:r>
        <w:continuationSeparator/>
      </w:r>
    </w:p>
  </w:footnote>
  <w:footnote w:id="1">
    <w:p w14:paraId="07A28903" w14:textId="77777777" w:rsidR="00F26F81" w:rsidRPr="00DD5E64" w:rsidRDefault="00F26F81" w:rsidP="00F26F81">
      <w:pPr>
        <w:pStyle w:val="Notedebasdepage"/>
        <w:rPr>
          <w:lang w:val="fr-FR"/>
        </w:rPr>
      </w:pPr>
      <w:r w:rsidRPr="00DD5E64">
        <w:rPr>
          <w:rStyle w:val="Appelnotedebasdep"/>
          <w:lang w:val="fr-FR"/>
        </w:rPr>
        <w:footnoteRef/>
      </w:r>
      <w:r w:rsidRPr="00DD5E64">
        <w:rPr>
          <w:lang w:val="fr-FR"/>
        </w:rPr>
        <w:t xml:space="preserve"> Le prix demandé est destiné à défrayer le Maître d’Ouvrage du coût d’impression, du courrier / d’acheminement du dossier d’Appel d’offres. Un montant de 50 à 300 USD ou équivalent est réputé raisonnable.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528"/>
    <w:multiLevelType w:val="hybridMultilevel"/>
    <w:tmpl w:val="C74C6B96"/>
    <w:lvl w:ilvl="0" w:tplc="8A7AD136">
      <w:start w:val="1"/>
      <w:numFmt w:val="decimal"/>
      <w:lvlText w:val="%1."/>
      <w:lvlJc w:val="left"/>
      <w:pPr>
        <w:ind w:left="360" w:hanging="360"/>
      </w:pPr>
      <w:rPr>
        <w:rFonts w:ascii="Times New Roman" w:hAnsi="Times New Roman" w:hint="default"/>
        <w:color w:val="auto"/>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B5D6F78"/>
    <w:multiLevelType w:val="hybridMultilevel"/>
    <w:tmpl w:val="5A7E20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2634E99"/>
    <w:multiLevelType w:val="hybridMultilevel"/>
    <w:tmpl w:val="14EAA7B8"/>
    <w:lvl w:ilvl="0" w:tplc="0409001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ED1FA5"/>
    <w:multiLevelType w:val="multilevel"/>
    <w:tmpl w:val="C6B0F1F8"/>
    <w:lvl w:ilvl="0">
      <w:start w:val="1"/>
      <w:numFmt w:val="decimal"/>
      <w:lvlText w:val="%1."/>
      <w:lvlJc w:val="left"/>
      <w:pPr>
        <w:tabs>
          <w:tab w:val="num" w:pos="720"/>
        </w:tabs>
        <w:ind w:left="720" w:hanging="720"/>
      </w:pPr>
      <w:rPr>
        <w:rFonts w:cs="Times New Roman" w:hint="default"/>
        <w:b w:val="0"/>
        <w:i w:val="0"/>
        <w:color w:val="auto"/>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40B18E7"/>
    <w:multiLevelType w:val="hybridMultilevel"/>
    <w:tmpl w:val="2CB2FD1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8120E87"/>
    <w:multiLevelType w:val="hybridMultilevel"/>
    <w:tmpl w:val="29121D5E"/>
    <w:lvl w:ilvl="0" w:tplc="C882AD72">
      <w:start w:val="6"/>
      <w:numFmt w:val="decimal"/>
      <w:lvlText w:val="%1."/>
      <w:lvlJc w:val="left"/>
      <w:pPr>
        <w:ind w:left="360" w:hanging="360"/>
      </w:pPr>
      <w:rPr>
        <w:rFonts w:ascii="Times New Roman" w:hAnsi="Times New Roman"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6B4217"/>
    <w:multiLevelType w:val="hybridMultilevel"/>
    <w:tmpl w:val="A0AC6A82"/>
    <w:lvl w:ilvl="0" w:tplc="040C000F">
      <w:start w:val="9"/>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58A5F84"/>
    <w:multiLevelType w:val="hybridMultilevel"/>
    <w:tmpl w:val="46F0B4DC"/>
    <w:lvl w:ilvl="0" w:tplc="DC10F16E">
      <w:start w:val="6"/>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A172667"/>
    <w:multiLevelType w:val="hybridMultilevel"/>
    <w:tmpl w:val="434642AE"/>
    <w:lvl w:ilvl="0" w:tplc="7ECCC648">
      <w:start w:val="1"/>
      <w:numFmt w:val="decimal"/>
      <w:lvlText w:val="%1."/>
      <w:lvlJc w:val="left"/>
      <w:pPr>
        <w:ind w:left="575" w:hanging="57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09952949">
    <w:abstractNumId w:val="3"/>
  </w:num>
  <w:num w:numId="2" w16cid:durableId="1712925236">
    <w:abstractNumId w:val="2"/>
  </w:num>
  <w:num w:numId="3" w16cid:durableId="1658455499">
    <w:abstractNumId w:val="8"/>
  </w:num>
  <w:num w:numId="4" w16cid:durableId="1710832455">
    <w:abstractNumId w:val="4"/>
  </w:num>
  <w:num w:numId="5" w16cid:durableId="1808547637">
    <w:abstractNumId w:val="7"/>
  </w:num>
  <w:num w:numId="6" w16cid:durableId="55785826">
    <w:abstractNumId w:val="1"/>
  </w:num>
  <w:num w:numId="7" w16cid:durableId="1525290721">
    <w:abstractNumId w:val="0"/>
  </w:num>
  <w:num w:numId="8" w16cid:durableId="660280378">
    <w:abstractNumId w:val="5"/>
  </w:num>
  <w:num w:numId="9" w16cid:durableId="1761413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F6"/>
    <w:rsid w:val="00045AED"/>
    <w:rsid w:val="00045F10"/>
    <w:rsid w:val="000726BF"/>
    <w:rsid w:val="00105A56"/>
    <w:rsid w:val="00113184"/>
    <w:rsid w:val="002063BA"/>
    <w:rsid w:val="00234AFA"/>
    <w:rsid w:val="00236AF6"/>
    <w:rsid w:val="00275B54"/>
    <w:rsid w:val="002E45ED"/>
    <w:rsid w:val="003543AF"/>
    <w:rsid w:val="003B36BD"/>
    <w:rsid w:val="0050221C"/>
    <w:rsid w:val="005147F6"/>
    <w:rsid w:val="005656B9"/>
    <w:rsid w:val="005F0169"/>
    <w:rsid w:val="0064207F"/>
    <w:rsid w:val="006779AE"/>
    <w:rsid w:val="00690246"/>
    <w:rsid w:val="00716E8B"/>
    <w:rsid w:val="007A099C"/>
    <w:rsid w:val="007C028E"/>
    <w:rsid w:val="007F3E0B"/>
    <w:rsid w:val="00806395"/>
    <w:rsid w:val="00832B16"/>
    <w:rsid w:val="00842A88"/>
    <w:rsid w:val="00896646"/>
    <w:rsid w:val="009061F1"/>
    <w:rsid w:val="0091655B"/>
    <w:rsid w:val="00951415"/>
    <w:rsid w:val="00A64B87"/>
    <w:rsid w:val="00A744C5"/>
    <w:rsid w:val="00AD2444"/>
    <w:rsid w:val="00AF52F6"/>
    <w:rsid w:val="00B672A2"/>
    <w:rsid w:val="00BA726B"/>
    <w:rsid w:val="00C22B1B"/>
    <w:rsid w:val="00CC33B6"/>
    <w:rsid w:val="00CE1FE1"/>
    <w:rsid w:val="00D0352D"/>
    <w:rsid w:val="00D126DE"/>
    <w:rsid w:val="00D54D13"/>
    <w:rsid w:val="00D81EBE"/>
    <w:rsid w:val="00DC7639"/>
    <w:rsid w:val="00DE4B92"/>
    <w:rsid w:val="00E40BEC"/>
    <w:rsid w:val="00E72E36"/>
    <w:rsid w:val="00EA3887"/>
    <w:rsid w:val="00EC72E0"/>
    <w:rsid w:val="00F1276D"/>
    <w:rsid w:val="00F26F81"/>
    <w:rsid w:val="00F57A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7911"/>
  <w15:chartTrackingRefBased/>
  <w15:docId w15:val="{64262588-6A63-4F8B-A19C-0E2C7D25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F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236AF6"/>
    <w:rPr>
      <w:color w:val="0000FF"/>
      <w:u w:val="single"/>
    </w:rPr>
  </w:style>
  <w:style w:type="paragraph" w:styleId="Corpsdetexte">
    <w:name w:val="Body Text"/>
    <w:aliases w:val="B&amp;B Body Text,Char,Std Para,bt,R_Body Text,body Executive bullet,heading3,3 indent,heading31,3 indent1,BT,BODY TEXT,Block text,tx,sp,sbs,bt4,body text4,bt5,body text5,bt1,body text1,block text,1,txt1,T1,Title 1,bodytext,bullet title,pp"/>
    <w:basedOn w:val="Normal"/>
    <w:link w:val="CorpsdetexteCar"/>
    <w:qFormat/>
    <w:rsid w:val="00236AF6"/>
    <w:pPr>
      <w:suppressAutoHyphens/>
      <w:overflowPunct w:val="0"/>
      <w:autoSpaceDE w:val="0"/>
      <w:autoSpaceDN w:val="0"/>
      <w:adjustRightInd w:val="0"/>
      <w:jc w:val="center"/>
      <w:textAlignment w:val="baseline"/>
    </w:pPr>
    <w:rPr>
      <w:color w:val="FFFF00"/>
      <w:sz w:val="28"/>
      <w:szCs w:val="20"/>
      <w:lang w:eastAsia="en-US"/>
    </w:rPr>
  </w:style>
  <w:style w:type="character" w:customStyle="1" w:styleId="CorpsdetexteCar">
    <w:name w:val="Corps de texte Car"/>
    <w:aliases w:val="B&amp;B Body Text Car,Char Car,Std Para Car,bt Car,R_Body Text Car,body Executive bullet Car,heading3 Car,3 indent Car,heading31 Car,3 indent1 Car,BT Car,BODY TEXT Car,Block text Car,tx Car,sp Car,sbs Car,bt4 Car,body text4 Car,bt5 Car"/>
    <w:basedOn w:val="Policepardfaut"/>
    <w:link w:val="Corpsdetexte"/>
    <w:rsid w:val="00236AF6"/>
    <w:rPr>
      <w:rFonts w:ascii="Times New Roman" w:eastAsia="Times New Roman" w:hAnsi="Times New Roman" w:cs="Times New Roman"/>
      <w:color w:val="FFFF00"/>
      <w:sz w:val="28"/>
      <w:szCs w:val="20"/>
    </w:rPr>
  </w:style>
  <w:style w:type="paragraph" w:customStyle="1" w:styleId="Heading1a">
    <w:name w:val="Heading 1a"/>
    <w:rsid w:val="00236AF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aragraphe à Puce,Paragraph,Puces,lp1"/>
    <w:basedOn w:val="Normal"/>
    <w:link w:val="ParagraphedelisteCar"/>
    <w:uiPriority w:val="34"/>
    <w:qFormat/>
    <w:rsid w:val="00236AF6"/>
    <w:pPr>
      <w:ind w:left="720"/>
      <w:contextualSpacing/>
    </w:pPr>
    <w:rPr>
      <w:lang w:eastAsia="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rsid w:val="00236AF6"/>
    <w:rPr>
      <w:rFonts w:ascii="Times New Roman" w:eastAsia="Times New Roman" w:hAnsi="Times New Roman" w:cs="Times New Roman"/>
      <w:sz w:val="24"/>
      <w:szCs w:val="24"/>
    </w:rPr>
  </w:style>
  <w:style w:type="character" w:customStyle="1" w:styleId="Aucun">
    <w:name w:val="Aucun"/>
    <w:rsid w:val="00236AF6"/>
  </w:style>
  <w:style w:type="character" w:styleId="lev">
    <w:name w:val="Strong"/>
    <w:basedOn w:val="Policepardfaut"/>
    <w:uiPriority w:val="22"/>
    <w:qFormat/>
    <w:rsid w:val="007C028E"/>
    <w:rPr>
      <w:b/>
      <w:bCs/>
    </w:rPr>
  </w:style>
  <w:style w:type="paragraph" w:customStyle="1" w:styleId="FrenchHeading">
    <w:name w:val="French Heading"/>
    <w:basedOn w:val="Normal"/>
    <w:qFormat/>
    <w:rsid w:val="00BA726B"/>
    <w:pPr>
      <w:spacing w:before="240" w:after="240"/>
      <w:jc w:val="center"/>
    </w:pPr>
    <w:rPr>
      <w:b/>
      <w:sz w:val="48"/>
      <w:szCs w:val="20"/>
    </w:rPr>
  </w:style>
  <w:style w:type="paragraph" w:customStyle="1" w:styleId="BankNormal">
    <w:name w:val="BankNormal"/>
    <w:basedOn w:val="Normal"/>
    <w:link w:val="BankNormalChar"/>
    <w:rsid w:val="00951415"/>
    <w:pPr>
      <w:spacing w:after="240"/>
      <w:ind w:left="576" w:hanging="576"/>
    </w:pPr>
    <w:rPr>
      <w:szCs w:val="20"/>
      <w:lang w:val="en-US"/>
    </w:rPr>
  </w:style>
  <w:style w:type="character" w:customStyle="1" w:styleId="BankNormalChar">
    <w:name w:val="BankNormal Char"/>
    <w:link w:val="BankNormal"/>
    <w:locked/>
    <w:rsid w:val="00951415"/>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DE4B92"/>
    <w:pPr>
      <w:tabs>
        <w:tab w:val="center" w:pos="4536"/>
        <w:tab w:val="right" w:pos="9072"/>
      </w:tabs>
    </w:pPr>
  </w:style>
  <w:style w:type="character" w:customStyle="1" w:styleId="En-tteCar">
    <w:name w:val="En-tête Car"/>
    <w:basedOn w:val="Policepardfaut"/>
    <w:link w:val="En-tte"/>
    <w:uiPriority w:val="99"/>
    <w:rsid w:val="00DE4B9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E4B92"/>
    <w:pPr>
      <w:tabs>
        <w:tab w:val="center" w:pos="4536"/>
        <w:tab w:val="right" w:pos="9072"/>
      </w:tabs>
    </w:pPr>
  </w:style>
  <w:style w:type="character" w:customStyle="1" w:styleId="PieddepageCar">
    <w:name w:val="Pied de page Car"/>
    <w:basedOn w:val="Policepardfaut"/>
    <w:link w:val="Pieddepage"/>
    <w:uiPriority w:val="99"/>
    <w:rsid w:val="00DE4B92"/>
    <w:rPr>
      <w:rFonts w:ascii="Times New Roman" w:eastAsia="Times New Roman" w:hAnsi="Times New Roman" w:cs="Times New Roman"/>
      <w:sz w:val="24"/>
      <w:szCs w:val="24"/>
      <w:lang w:eastAsia="fr-FR"/>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F26F81"/>
    <w:pPr>
      <w:jc w:val="both"/>
    </w:pPr>
    <w:rPr>
      <w:sz w:val="20"/>
      <w:szCs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F26F81"/>
    <w:rPr>
      <w:rFonts w:ascii="Times New Roman" w:eastAsia="Times New Roman" w:hAnsi="Times New Roman" w:cs="Times New Roman"/>
      <w:sz w:val="20"/>
      <w:szCs w:val="20"/>
      <w:lang w:val="es-ES_tradnl" w:eastAsia="fr-FR"/>
    </w:rPr>
  </w:style>
  <w:style w:type="character" w:styleId="Appelnotedebasdep">
    <w:name w:val="footnote reference"/>
    <w:aliases w:val="callout"/>
    <w:uiPriority w:val="99"/>
    <w:rsid w:val="00F26F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che.harouna@pv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crutement@pvi.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ba.fadai@pvi.ne" TargetMode="External"/><Relationship Id="rId5" Type="http://schemas.openxmlformats.org/officeDocument/2006/relationships/webSettings" Target="webSettings.xml"/><Relationship Id="rId15" Type="http://schemas.openxmlformats.org/officeDocument/2006/relationships/hyperlink" Target="mailto:recrutement@pvi.ne" TargetMode="External"/><Relationship Id="rId10" Type="http://schemas.openxmlformats.org/officeDocument/2006/relationships/hyperlink" Target="mailto:kache.harouna@pvi.ne" TargetMode="External"/><Relationship Id="rId4" Type="http://schemas.openxmlformats.org/officeDocument/2006/relationships/settings" Target="settings.xml"/><Relationship Id="rId9" Type="http://schemas.openxmlformats.org/officeDocument/2006/relationships/hyperlink" Target="mailto:recrutement@pvi.ne" TargetMode="External"/><Relationship Id="rId14" Type="http://schemas.openxmlformats.org/officeDocument/2006/relationships/hyperlink" Target="mailto:abba.fadai@pv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685BE-5CA8-4A00-9C59-080E47E8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dc:creator>
  <cp:keywords/>
  <dc:description/>
  <cp:lastModifiedBy>HP</cp:lastModifiedBy>
  <cp:revision>2</cp:revision>
  <dcterms:created xsi:type="dcterms:W3CDTF">2026-02-10T14:57:00Z</dcterms:created>
  <dcterms:modified xsi:type="dcterms:W3CDTF">2026-02-10T14:57:00Z</dcterms:modified>
</cp:coreProperties>
</file>