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CEAD" w14:textId="77777777" w:rsidR="00813A4F" w:rsidRDefault="00813A4F" w:rsidP="00813A4F">
      <w:pPr>
        <w:spacing w:after="0"/>
        <w:jc w:val="center"/>
        <w:rPr>
          <w:rFonts w:ascii="Arial" w:hAnsi="Arial"/>
          <w:b/>
          <w:sz w:val="24"/>
          <w:szCs w:val="24"/>
          <w:lang w:eastAsia="fr-FR"/>
        </w:rPr>
      </w:pPr>
      <w:bookmarkStart w:id="0" w:name="_Hlk129346589"/>
      <w:r>
        <w:rPr>
          <w:rFonts w:ascii="Arial" w:hAnsi="Arial"/>
          <w:b/>
          <w:sz w:val="24"/>
          <w:szCs w:val="24"/>
          <w:lang w:eastAsia="fr-FR"/>
        </w:rPr>
        <w:t>REPUBLIQUE DU NIGER</w:t>
      </w:r>
    </w:p>
    <w:p w14:paraId="19C8C646" w14:textId="77777777" w:rsidR="00813A4F" w:rsidRDefault="00813A4F" w:rsidP="00813A4F">
      <w:pPr>
        <w:spacing w:after="0"/>
        <w:jc w:val="center"/>
        <w:rPr>
          <w:rFonts w:ascii="Arial" w:hAnsi="Arial"/>
          <w:bCs/>
          <w:i/>
          <w:iCs/>
          <w:lang w:eastAsia="fr-FR"/>
        </w:rPr>
      </w:pPr>
      <w:r>
        <w:rPr>
          <w:rFonts w:ascii="Arial" w:hAnsi="Arial"/>
          <w:bCs/>
          <w:i/>
          <w:iCs/>
          <w:lang w:eastAsia="fr-FR"/>
        </w:rPr>
        <w:t>Fraternité-Travail-Progrès</w:t>
      </w:r>
    </w:p>
    <w:p w14:paraId="466B35FC" w14:textId="77777777" w:rsidR="00813A4F" w:rsidRDefault="00813A4F" w:rsidP="00813A4F">
      <w:pPr>
        <w:spacing w:after="0"/>
        <w:jc w:val="center"/>
        <w:rPr>
          <w:rFonts w:ascii="Arial" w:hAnsi="Arial"/>
          <w:b/>
          <w:sz w:val="24"/>
          <w:szCs w:val="24"/>
          <w:lang w:eastAsia="fr-FR"/>
        </w:rPr>
      </w:pPr>
      <w:r>
        <w:rPr>
          <w:rFonts w:ascii="Arial" w:hAnsi="Arial"/>
          <w:b/>
          <w:sz w:val="24"/>
          <w:szCs w:val="24"/>
          <w:lang w:eastAsia="fr-FR"/>
        </w:rPr>
        <w:t>MINISTERE DE L’AGRICULTURE ET DE L’ELEVAGE</w:t>
      </w:r>
    </w:p>
    <w:p w14:paraId="1A02D420" w14:textId="77777777" w:rsidR="00813A4F" w:rsidRDefault="00813A4F" w:rsidP="00813A4F">
      <w:pPr>
        <w:spacing w:after="0"/>
        <w:ind w:left="-426" w:right="-291"/>
        <w:jc w:val="center"/>
        <w:rPr>
          <w:rFonts w:ascii="Arial" w:hAnsi="Arial"/>
          <w:b/>
          <w:sz w:val="24"/>
          <w:szCs w:val="20"/>
          <w:lang w:eastAsia="fr-FR"/>
        </w:rPr>
      </w:pPr>
      <w:r>
        <w:rPr>
          <w:rFonts w:ascii="Arial" w:hAnsi="Arial"/>
          <w:b/>
          <w:sz w:val="24"/>
          <w:szCs w:val="20"/>
          <w:lang w:eastAsia="fr-FR"/>
        </w:rPr>
        <w:t>PROJET REGIONAL D’APPUI AU PASTORALISME AU SAHEL (PRAPS) PHASE II</w:t>
      </w:r>
    </w:p>
    <w:p w14:paraId="22C310B0" w14:textId="3EC5C385" w:rsidR="00B8653E" w:rsidRPr="00813A4F" w:rsidRDefault="00813A4F" w:rsidP="00813A4F">
      <w:pPr>
        <w:spacing w:after="0"/>
        <w:jc w:val="center"/>
        <w:rPr>
          <w:rFonts w:ascii="Arial" w:hAnsi="Arial"/>
          <w:b/>
          <w:smallCaps/>
          <w:sz w:val="24"/>
          <w:szCs w:val="20"/>
          <w:lang w:eastAsia="fr-FR"/>
        </w:rPr>
      </w:pPr>
      <w:r>
        <w:rPr>
          <w:rFonts w:ascii="Arial" w:hAnsi="Arial"/>
          <w:b/>
          <w:smallCaps/>
          <w:sz w:val="24"/>
          <w:szCs w:val="20"/>
          <w:lang w:eastAsia="fr-FR"/>
        </w:rPr>
        <w:t>UNITE DE COORDINATION DE PROJET</w:t>
      </w:r>
    </w:p>
    <w:bookmarkEnd w:id="0"/>
    <w:p w14:paraId="3CC9C71F" w14:textId="6814921B" w:rsidR="00C571E3" w:rsidRDefault="005B7AEB" w:rsidP="005B7AEB">
      <w:pPr>
        <w:suppressAutoHyphens/>
        <w:spacing w:after="0" w:line="240" w:lineRule="auto"/>
        <w:jc w:val="center"/>
        <w:rPr>
          <w:rFonts w:ascii="Times New Roman" w:eastAsia="Times New Roman" w:hAnsi="Times New Roman"/>
          <w:b/>
          <w:bCs/>
          <w:i/>
          <w:iCs/>
          <w:sz w:val="24"/>
          <w:szCs w:val="24"/>
          <w:lang w:eastAsia="fr-FR"/>
        </w:rPr>
      </w:pPr>
      <w:r w:rsidRPr="001F1FDE">
        <w:rPr>
          <w:rFonts w:ascii="Calibri Light" w:hAnsi="Calibri Light"/>
          <w:bCs/>
          <w:noProof/>
          <w:szCs w:val="24"/>
          <w:lang w:eastAsia="fr-FR"/>
        </w:rPr>
        <w:drawing>
          <wp:inline distT="0" distB="0" distL="0" distR="0" wp14:anchorId="38F5E9ED" wp14:editId="4D1BEDF5">
            <wp:extent cx="953685" cy="3456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215" cy="360742"/>
                    </a:xfrm>
                    <a:prstGeom prst="rect">
                      <a:avLst/>
                    </a:prstGeom>
                    <a:noFill/>
                    <a:ln>
                      <a:noFill/>
                    </a:ln>
                  </pic:spPr>
                </pic:pic>
              </a:graphicData>
            </a:graphic>
          </wp:inline>
        </w:drawing>
      </w:r>
    </w:p>
    <w:p w14:paraId="498AB5B7" w14:textId="77777777" w:rsidR="005B7AEB" w:rsidRDefault="005B7AEB" w:rsidP="005B7AEB">
      <w:pPr>
        <w:suppressAutoHyphens/>
        <w:spacing w:after="0" w:line="240" w:lineRule="auto"/>
        <w:jc w:val="center"/>
        <w:rPr>
          <w:rFonts w:ascii="Times New Roman" w:eastAsia="Times New Roman" w:hAnsi="Times New Roman"/>
          <w:b/>
          <w:bCs/>
          <w:i/>
          <w:iCs/>
          <w:sz w:val="24"/>
          <w:szCs w:val="24"/>
          <w:lang w:eastAsia="fr-FR"/>
        </w:rPr>
      </w:pPr>
    </w:p>
    <w:p w14:paraId="1D97E42C" w14:textId="696A134E" w:rsidR="00FF5A0B" w:rsidRPr="005B7AEB" w:rsidRDefault="00551251" w:rsidP="005B7AEB">
      <w:pPr>
        <w:suppressAutoHyphens/>
        <w:spacing w:after="0" w:line="240" w:lineRule="auto"/>
        <w:jc w:val="center"/>
        <w:rPr>
          <w:rFonts w:ascii="Times New Roman" w:eastAsia="Times New Roman" w:hAnsi="Times New Roman"/>
          <w:b/>
          <w:bCs/>
          <w:i/>
          <w:iCs/>
          <w:lang w:eastAsia="fr-FR"/>
        </w:rPr>
      </w:pPr>
      <w:r w:rsidRPr="00C571E3">
        <w:rPr>
          <w:rFonts w:ascii="Times New Roman" w:eastAsia="Times New Roman" w:hAnsi="Times New Roman"/>
          <w:b/>
          <w:bCs/>
          <w:i/>
          <w:iCs/>
          <w:lang w:eastAsia="fr-FR"/>
        </w:rPr>
        <w:t>Appel d’</w:t>
      </w:r>
      <w:r w:rsidRPr="00C571E3" w:rsidDel="00334007">
        <w:rPr>
          <w:rFonts w:ascii="Times New Roman" w:eastAsia="Times New Roman" w:hAnsi="Times New Roman"/>
          <w:b/>
          <w:bCs/>
          <w:i/>
          <w:iCs/>
          <w:lang w:eastAsia="fr-FR"/>
        </w:rPr>
        <w:t>O</w:t>
      </w:r>
      <w:r w:rsidRPr="00C571E3">
        <w:rPr>
          <w:rFonts w:ascii="Times New Roman" w:eastAsia="Times New Roman" w:hAnsi="Times New Roman"/>
          <w:b/>
          <w:bCs/>
          <w:i/>
          <w:iCs/>
          <w:lang w:eastAsia="fr-FR"/>
        </w:rPr>
        <w:t xml:space="preserve">ffres National </w:t>
      </w:r>
      <w:r w:rsidR="00A03B54" w:rsidRPr="00A03B54">
        <w:rPr>
          <w:rFonts w:ascii="Times New Roman" w:eastAsia="Times New Roman" w:hAnsi="Times New Roman"/>
          <w:b/>
          <w:bCs/>
          <w:i/>
          <w:iCs/>
          <w:lang w:eastAsia="fr-FR"/>
        </w:rPr>
        <w:t>N°005/2025/TRVX/PRAPS II-NE</w:t>
      </w:r>
      <w:r w:rsidR="00A03B54">
        <w:rPr>
          <w:rFonts w:ascii="Times New Roman" w:eastAsia="Times New Roman" w:hAnsi="Times New Roman"/>
          <w:b/>
          <w:bCs/>
          <w:i/>
          <w:iCs/>
          <w:lang w:eastAsia="fr-FR"/>
        </w:rPr>
        <w:t xml:space="preserve"> </w:t>
      </w:r>
      <w:r w:rsidR="00A03B54" w:rsidRPr="00C571E3">
        <w:rPr>
          <w:rFonts w:ascii="Times New Roman" w:eastAsia="Times New Roman" w:hAnsi="Times New Roman"/>
          <w:b/>
          <w:bCs/>
          <w:i/>
          <w:iCs/>
          <w:lang w:eastAsia="fr-FR"/>
        </w:rPr>
        <w:t>(</w:t>
      </w:r>
      <w:r w:rsidR="00A03B54" w:rsidRPr="00A03B54">
        <w:rPr>
          <w:rFonts w:ascii="Times New Roman" w:eastAsia="Times New Roman" w:hAnsi="Times New Roman"/>
          <w:b/>
          <w:bCs/>
          <w:i/>
          <w:iCs/>
          <w:lang w:eastAsia="fr-FR"/>
        </w:rPr>
        <w:t>NE-PRAPS II - NE-300600-CW-RFB</w:t>
      </w:r>
      <w:r w:rsidR="00A03B54">
        <w:rPr>
          <w:rFonts w:ascii="Times New Roman" w:eastAsia="Times New Roman" w:hAnsi="Times New Roman"/>
          <w:b/>
          <w:bCs/>
          <w:i/>
          <w:iCs/>
          <w:lang w:eastAsia="fr-FR"/>
        </w:rPr>
        <w:t>)</w:t>
      </w:r>
      <w:r w:rsidR="00A03B54" w:rsidRPr="00A03B54">
        <w:rPr>
          <w:rFonts w:ascii="Times New Roman" w:eastAsia="Times New Roman" w:hAnsi="Times New Roman"/>
          <w:b/>
          <w:bCs/>
          <w:i/>
          <w:iCs/>
          <w:lang w:eastAsia="fr-FR"/>
        </w:rPr>
        <w:t xml:space="preserve"> relatif aux travaux de mise en place de petits périmètres irrigués (PPI) fourragers</w:t>
      </w:r>
      <w:r w:rsidRPr="00C571E3">
        <w:rPr>
          <w:rFonts w:ascii="Times New Roman" w:eastAsia="Times New Roman" w:hAnsi="Times New Roman"/>
          <w:b/>
          <w:bCs/>
          <w:i/>
          <w:iCs/>
          <w:lang w:eastAsia="fr-FR"/>
        </w:rPr>
        <w:t>.</w:t>
      </w:r>
      <w:bookmarkStart w:id="1" w:name="_Hlk193976904"/>
    </w:p>
    <w:p w14:paraId="68CF967E" w14:textId="21ED09A6" w:rsidR="00551251" w:rsidRPr="00C571E3" w:rsidRDefault="00C571E3" w:rsidP="00551251">
      <w:pPr>
        <w:shd w:val="clear" w:color="auto" w:fill="FFFFFF"/>
        <w:spacing w:after="150" w:line="240" w:lineRule="auto"/>
        <w:jc w:val="both"/>
        <w:rPr>
          <w:rFonts w:ascii="Times New Roman" w:eastAsia="Times New Roman" w:hAnsi="Times New Roman"/>
          <w:iCs/>
          <w:lang w:eastAsia="fr-FR"/>
        </w:rPr>
      </w:pPr>
      <w:r w:rsidRPr="00C571E3">
        <w:rPr>
          <w:rFonts w:ascii="Times New Roman" w:eastAsia="Times New Roman" w:hAnsi="Times New Roman"/>
          <w:iCs/>
          <w:lang w:eastAsia="fr-FR"/>
        </w:rPr>
        <w:t>Cet Avis d’appel d’offres fait suite à l’Avis Général de Passation des Marchés paru dans le numéro OP00167462 du 24 février 2022 de « </w:t>
      </w:r>
      <w:proofErr w:type="spellStart"/>
      <w:r w:rsidRPr="00C571E3">
        <w:rPr>
          <w:rFonts w:ascii="Times New Roman" w:eastAsia="Times New Roman" w:hAnsi="Times New Roman"/>
          <w:iCs/>
          <w:lang w:eastAsia="fr-FR"/>
        </w:rPr>
        <w:t>Development</w:t>
      </w:r>
      <w:proofErr w:type="spellEnd"/>
      <w:r w:rsidRPr="00C571E3">
        <w:rPr>
          <w:rFonts w:ascii="Times New Roman" w:eastAsia="Times New Roman" w:hAnsi="Times New Roman"/>
          <w:iCs/>
          <w:lang w:eastAsia="fr-FR"/>
        </w:rPr>
        <w:t xml:space="preserve"> Business » et le PPM 2025 du PRAPS-II NE publié sur STEP et paru dans le Sahel Quotidien N°10 897 du 26/03/2025</w:t>
      </w:r>
      <w:bookmarkEnd w:id="1"/>
      <w:r w:rsidR="00551251" w:rsidRPr="00C571E3">
        <w:rPr>
          <w:rFonts w:ascii="Times New Roman" w:eastAsia="Times New Roman" w:hAnsi="Times New Roman"/>
          <w:iCs/>
          <w:lang w:eastAsia="fr-FR"/>
        </w:rPr>
        <w:t>.</w:t>
      </w:r>
    </w:p>
    <w:p w14:paraId="4DC98579" w14:textId="77777777" w:rsidR="00A03B54" w:rsidRPr="00820D4E" w:rsidRDefault="00C571E3" w:rsidP="00A03B54">
      <w:pPr>
        <w:numPr>
          <w:ilvl w:val="0"/>
          <w:numId w:val="2"/>
        </w:numPr>
        <w:tabs>
          <w:tab w:val="clear" w:pos="720"/>
          <w:tab w:val="left" w:pos="426"/>
        </w:tabs>
        <w:spacing w:before="120" w:after="120" w:line="240" w:lineRule="auto"/>
        <w:ind w:left="432" w:hanging="432"/>
        <w:jc w:val="both"/>
      </w:pPr>
      <w:r w:rsidRPr="00C571E3">
        <w:rPr>
          <w:rFonts w:ascii="Times New Roman" w:hAnsi="Times New Roman"/>
        </w:rPr>
        <w:t xml:space="preserve">Le Gouvernement </w:t>
      </w:r>
      <w:r w:rsidR="00A03B54" w:rsidRPr="00820D4E">
        <w:t xml:space="preserve">de la République du Niger (ci-après dénommé l’ « Emprunteur »)   a reçu un financement de l’Association Internationale de Développement (AID) (la « Banque ») sous la forme d’un don et d’un crédit en vue de financer le coût du </w:t>
      </w:r>
      <w:r w:rsidR="00A03B54" w:rsidRPr="00820D4E">
        <w:rPr>
          <w:iCs/>
        </w:rPr>
        <w:t>Projet Régional d’Appui au Pastoralisme au Sahel Phase II (PRAPS II)</w:t>
      </w:r>
      <w:r w:rsidR="00A03B54" w:rsidRPr="00820D4E">
        <w:rPr>
          <w:i/>
          <w:iCs/>
        </w:rPr>
        <w:t>,</w:t>
      </w:r>
      <w:r w:rsidR="00A03B54" w:rsidRPr="00820D4E">
        <w:t xml:space="preserve"> et à l’intention d’utiliser une partie de ce </w:t>
      </w:r>
      <w:r w:rsidR="00A03B54" w:rsidRPr="00820D4E">
        <w:rPr>
          <w:i/>
          <w:iCs/>
        </w:rPr>
        <w:t>crédit/don</w:t>
      </w:r>
      <w:r w:rsidR="00A03B54" w:rsidRPr="00820D4E">
        <w:t xml:space="preserve"> pour effectuer des paiements au titre du Marché</w:t>
      </w:r>
      <w:r w:rsidR="00A03B54" w:rsidRPr="00820D4E">
        <w:rPr>
          <w:bCs/>
          <w:i/>
          <w:iCs/>
        </w:rPr>
        <w:t xml:space="preserve"> </w:t>
      </w:r>
      <w:r w:rsidR="00A03B54" w:rsidRPr="00820D4E">
        <w:rPr>
          <w:b/>
        </w:rPr>
        <w:t xml:space="preserve">de </w:t>
      </w:r>
      <w:bookmarkStart w:id="2" w:name="_Hlk149817936"/>
      <w:r w:rsidR="00A03B54" w:rsidRPr="00820D4E">
        <w:rPr>
          <w:b/>
        </w:rPr>
        <w:t xml:space="preserve">travaux </w:t>
      </w:r>
      <w:bookmarkEnd w:id="2"/>
      <w:r w:rsidR="00A03B54" w:rsidRPr="00820D4E">
        <w:rPr>
          <w:b/>
        </w:rPr>
        <w:t>de</w:t>
      </w:r>
      <w:r w:rsidR="00A03B54">
        <w:rPr>
          <w:b/>
        </w:rPr>
        <w:t xml:space="preserve"> mise en place des</w:t>
      </w:r>
      <w:r w:rsidR="00A03B54" w:rsidRPr="00820D4E">
        <w:rPr>
          <w:b/>
        </w:rPr>
        <w:t xml:space="preserve"> petits périmètres irrigués (PPI) fourragers dans la zone d’intervention du projet.</w:t>
      </w:r>
      <w:r w:rsidR="00A03B54" w:rsidRPr="00820D4E">
        <w:t xml:space="preserve"> La passation du Marché sera conforme au règlement de passation des marchés de la Banque mondiale.</w:t>
      </w:r>
      <w:r w:rsidR="00A03B54" w:rsidRPr="00820D4E">
        <w:rPr>
          <w:i/>
          <w:iCs/>
        </w:rPr>
        <w:t xml:space="preserve"> </w:t>
      </w:r>
    </w:p>
    <w:p w14:paraId="471257E3" w14:textId="77777777" w:rsidR="00A03B54" w:rsidRPr="00820D4E" w:rsidRDefault="00A03B54" w:rsidP="00A03B54">
      <w:pPr>
        <w:numPr>
          <w:ilvl w:val="0"/>
          <w:numId w:val="2"/>
        </w:numPr>
        <w:tabs>
          <w:tab w:val="clear" w:pos="720"/>
          <w:tab w:val="left" w:pos="426"/>
        </w:tabs>
        <w:spacing w:before="120" w:after="120" w:line="240" w:lineRule="auto"/>
        <w:ind w:left="432" w:hanging="432"/>
        <w:jc w:val="both"/>
      </w:pPr>
      <w:r w:rsidRPr="00820D4E">
        <w:t xml:space="preserve">Le </w:t>
      </w:r>
      <w:r w:rsidRPr="00820D4E">
        <w:rPr>
          <w:iCs/>
        </w:rPr>
        <w:t>Coordonnateur du PRAPS II sollicite des offres fermées de la part de soumissionnaires éligibles et répondant</w:t>
      </w:r>
      <w:r w:rsidRPr="00820D4E">
        <w:t xml:space="preserve"> aux qualifications </w:t>
      </w:r>
      <w:r w:rsidRPr="00F80E86">
        <w:t xml:space="preserve">requises pour exécuter les </w:t>
      </w:r>
      <w:r w:rsidRPr="00F80E86">
        <w:rPr>
          <w:b/>
          <w:bCs/>
        </w:rPr>
        <w:t xml:space="preserve">travaux </w:t>
      </w:r>
      <w:r w:rsidRPr="00F80E86">
        <w:rPr>
          <w:b/>
        </w:rPr>
        <w:t xml:space="preserve">de mise en place des </w:t>
      </w:r>
      <w:r w:rsidRPr="00F80E86">
        <w:rPr>
          <w:b/>
          <w:bCs/>
        </w:rPr>
        <w:t>petits périmètres irrigués (PPI) fourragers dans la zone d’intervention du projet</w:t>
      </w:r>
      <w:r w:rsidRPr="00820D4E">
        <w:rPr>
          <w:rStyle w:val="Appelnotedebasdep"/>
          <w:b/>
          <w:bCs/>
        </w:rPr>
        <w:t xml:space="preserve"> </w:t>
      </w:r>
      <w:r w:rsidRPr="00820D4E">
        <w:t xml:space="preserve">constitués essentiellement de travaux de fonçage des forages et puits ainsi que leur équipement en moyens d’exhaure solaire (pompes immergées ou de surface, générateurs photovoltaïques), la fourniture et la pose des moyens de distribution de l’eau à la parcelle (réseau californien, bassins et réservoirs), la fourniture et la pose des clôtures grillagées pour la sécurisation des sites. Les travaux sont repartis </w:t>
      </w:r>
      <w:r w:rsidRPr="00907D84">
        <w:rPr>
          <w:b/>
          <w:bCs/>
        </w:rPr>
        <w:t>en sept (07) lots</w:t>
      </w:r>
      <w:r w:rsidRPr="00820D4E">
        <w:t xml:space="preserve"> comme suit</w:t>
      </w:r>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139"/>
        <w:gridCol w:w="2247"/>
        <w:gridCol w:w="1739"/>
        <w:gridCol w:w="1993"/>
      </w:tblGrid>
      <w:tr w:rsidR="00907D84" w:rsidRPr="00907D84" w14:paraId="69A46C15" w14:textId="77777777" w:rsidTr="00FF5A0B">
        <w:trPr>
          <w:trHeight w:val="20"/>
        </w:trPr>
        <w:tc>
          <w:tcPr>
            <w:tcW w:w="846" w:type="dxa"/>
            <w:vAlign w:val="center"/>
          </w:tcPr>
          <w:p w14:paraId="237FCFBF" w14:textId="2079D72F" w:rsidR="00907D84" w:rsidRPr="00907D84" w:rsidRDefault="00907D84" w:rsidP="00907D84">
            <w:pPr>
              <w:spacing w:after="0" w:line="240" w:lineRule="auto"/>
              <w:jc w:val="center"/>
            </w:pPr>
            <w:r w:rsidRPr="00907D84">
              <w:rPr>
                <w:b/>
                <w:bCs/>
              </w:rPr>
              <w:t>N° Lot</w:t>
            </w:r>
          </w:p>
        </w:tc>
        <w:tc>
          <w:tcPr>
            <w:tcW w:w="3139" w:type="dxa"/>
            <w:vAlign w:val="center"/>
          </w:tcPr>
          <w:p w14:paraId="79519658" w14:textId="7D40F14C" w:rsidR="00907D84" w:rsidRPr="00907D84" w:rsidRDefault="00907D84" w:rsidP="00907D84">
            <w:pPr>
              <w:spacing w:after="0" w:line="240" w:lineRule="auto"/>
              <w:jc w:val="center"/>
            </w:pPr>
            <w:r w:rsidRPr="00907D84">
              <w:rPr>
                <w:b/>
                <w:bCs/>
              </w:rPr>
              <w:t>Objet</w:t>
            </w:r>
          </w:p>
        </w:tc>
        <w:tc>
          <w:tcPr>
            <w:tcW w:w="2247" w:type="dxa"/>
            <w:vAlign w:val="center"/>
          </w:tcPr>
          <w:p w14:paraId="4A01A481" w14:textId="3F75FEE6" w:rsidR="00907D84" w:rsidRPr="00907D84" w:rsidRDefault="00907D84" w:rsidP="00907D84">
            <w:pPr>
              <w:spacing w:after="0" w:line="240" w:lineRule="auto"/>
              <w:jc w:val="center"/>
            </w:pPr>
            <w:r w:rsidRPr="00907D84">
              <w:rPr>
                <w:b/>
                <w:bCs/>
              </w:rPr>
              <w:t>Nom des sites</w:t>
            </w:r>
          </w:p>
        </w:tc>
        <w:tc>
          <w:tcPr>
            <w:tcW w:w="1739" w:type="dxa"/>
            <w:vAlign w:val="center"/>
          </w:tcPr>
          <w:p w14:paraId="3C10D07D" w14:textId="2CC094FF" w:rsidR="00907D84" w:rsidRPr="00907D84" w:rsidRDefault="00907D84" w:rsidP="00907D84">
            <w:pPr>
              <w:spacing w:after="0" w:line="240" w:lineRule="auto"/>
              <w:jc w:val="center"/>
            </w:pPr>
            <w:r w:rsidRPr="00907D84">
              <w:rPr>
                <w:b/>
                <w:bCs/>
              </w:rPr>
              <w:t>Communes</w:t>
            </w:r>
          </w:p>
        </w:tc>
        <w:tc>
          <w:tcPr>
            <w:tcW w:w="1993" w:type="dxa"/>
            <w:vAlign w:val="center"/>
          </w:tcPr>
          <w:p w14:paraId="6C1B2D44" w14:textId="7320D380" w:rsidR="00907D84" w:rsidRDefault="00907D84" w:rsidP="00907D84">
            <w:pPr>
              <w:spacing w:after="0" w:line="240" w:lineRule="auto"/>
              <w:jc w:val="center"/>
            </w:pPr>
            <w:r w:rsidRPr="00907D84">
              <w:rPr>
                <w:b/>
                <w:bCs/>
              </w:rPr>
              <w:t>Département</w:t>
            </w:r>
          </w:p>
        </w:tc>
      </w:tr>
      <w:tr w:rsidR="00907D84" w:rsidRPr="00907D84" w14:paraId="30256587" w14:textId="77777777" w:rsidTr="00FF5A0B">
        <w:trPr>
          <w:trHeight w:val="20"/>
        </w:trPr>
        <w:tc>
          <w:tcPr>
            <w:tcW w:w="846" w:type="dxa"/>
            <w:vMerge w:val="restart"/>
            <w:vAlign w:val="center"/>
            <w:hideMark/>
          </w:tcPr>
          <w:p w14:paraId="5EBFC78F" w14:textId="77777777" w:rsidR="00907D84" w:rsidRPr="00907D84" w:rsidRDefault="00907D84" w:rsidP="00907D84">
            <w:pPr>
              <w:spacing w:after="0" w:line="240" w:lineRule="auto"/>
              <w:jc w:val="center"/>
            </w:pPr>
            <w:r w:rsidRPr="00907D84">
              <w:t>1</w:t>
            </w:r>
          </w:p>
          <w:p w14:paraId="7E57A465" w14:textId="77777777" w:rsidR="00907D84" w:rsidRPr="00907D84" w:rsidRDefault="00907D84" w:rsidP="00907D84">
            <w:pPr>
              <w:spacing w:after="0" w:line="240" w:lineRule="auto"/>
              <w:jc w:val="center"/>
            </w:pPr>
          </w:p>
        </w:tc>
        <w:tc>
          <w:tcPr>
            <w:tcW w:w="3139" w:type="dxa"/>
            <w:vMerge w:val="restart"/>
            <w:vAlign w:val="center"/>
            <w:hideMark/>
          </w:tcPr>
          <w:p w14:paraId="034AA2AB" w14:textId="77777777" w:rsidR="00907D84" w:rsidRPr="00907D84" w:rsidRDefault="00907D84" w:rsidP="00907D84">
            <w:pPr>
              <w:spacing w:after="0" w:line="240" w:lineRule="auto"/>
              <w:jc w:val="center"/>
            </w:pPr>
            <w:r w:rsidRPr="00907D84">
              <w:t>Aménagement de trois</w:t>
            </w:r>
            <w:proofErr w:type="gramStart"/>
            <w:r w:rsidRPr="00907D84">
              <w:t xml:space="preserve">   (</w:t>
            </w:r>
            <w:proofErr w:type="gramEnd"/>
            <w:r w:rsidRPr="00907D84">
              <w:t>03) sites de petite irrigation dans la région de Maradi</w:t>
            </w:r>
          </w:p>
        </w:tc>
        <w:tc>
          <w:tcPr>
            <w:tcW w:w="2247" w:type="dxa"/>
            <w:vAlign w:val="center"/>
            <w:hideMark/>
          </w:tcPr>
          <w:p w14:paraId="614F23DB" w14:textId="77777777" w:rsidR="00907D84" w:rsidRPr="00907D84" w:rsidRDefault="00907D84" w:rsidP="00907D84">
            <w:pPr>
              <w:spacing w:after="0" w:line="240" w:lineRule="auto"/>
              <w:jc w:val="center"/>
            </w:pPr>
            <w:proofErr w:type="spellStart"/>
            <w:r w:rsidRPr="00907D84">
              <w:t>Tibiri</w:t>
            </w:r>
            <w:proofErr w:type="spellEnd"/>
          </w:p>
        </w:tc>
        <w:tc>
          <w:tcPr>
            <w:tcW w:w="1739" w:type="dxa"/>
            <w:vAlign w:val="center"/>
            <w:hideMark/>
          </w:tcPr>
          <w:p w14:paraId="341F6912" w14:textId="77777777" w:rsidR="00907D84" w:rsidRPr="00907D84" w:rsidRDefault="00907D84" w:rsidP="00907D84">
            <w:pPr>
              <w:spacing w:after="0" w:line="240" w:lineRule="auto"/>
              <w:jc w:val="center"/>
            </w:pPr>
            <w:proofErr w:type="spellStart"/>
            <w:r w:rsidRPr="00907D84">
              <w:t>Tibiri</w:t>
            </w:r>
            <w:proofErr w:type="spellEnd"/>
          </w:p>
        </w:tc>
        <w:tc>
          <w:tcPr>
            <w:tcW w:w="1993" w:type="dxa"/>
            <w:vAlign w:val="center"/>
            <w:hideMark/>
          </w:tcPr>
          <w:p w14:paraId="340EA038" w14:textId="10F9F049" w:rsidR="00907D84" w:rsidRPr="00907D84" w:rsidRDefault="00907D84" w:rsidP="00907D84">
            <w:pPr>
              <w:spacing w:after="0" w:line="240" w:lineRule="auto"/>
              <w:jc w:val="center"/>
            </w:pPr>
            <w:proofErr w:type="spellStart"/>
            <w:r>
              <w:t>Guidan</w:t>
            </w:r>
            <w:proofErr w:type="spellEnd"/>
            <w:r>
              <w:t xml:space="preserve"> Roumdji</w:t>
            </w:r>
          </w:p>
        </w:tc>
      </w:tr>
      <w:tr w:rsidR="00907D84" w:rsidRPr="00907D84" w14:paraId="3C5BF9F9" w14:textId="77777777" w:rsidTr="00FF5A0B">
        <w:trPr>
          <w:trHeight w:val="20"/>
        </w:trPr>
        <w:tc>
          <w:tcPr>
            <w:tcW w:w="846" w:type="dxa"/>
            <w:vMerge/>
            <w:vAlign w:val="center"/>
            <w:hideMark/>
          </w:tcPr>
          <w:p w14:paraId="25B4B613" w14:textId="77777777" w:rsidR="00907D84" w:rsidRPr="00907D84" w:rsidRDefault="00907D84" w:rsidP="00907D84">
            <w:pPr>
              <w:spacing w:after="0" w:line="240" w:lineRule="auto"/>
              <w:jc w:val="center"/>
            </w:pPr>
          </w:p>
        </w:tc>
        <w:tc>
          <w:tcPr>
            <w:tcW w:w="3139" w:type="dxa"/>
            <w:vMerge/>
            <w:vAlign w:val="center"/>
          </w:tcPr>
          <w:p w14:paraId="20B9BC10" w14:textId="77777777" w:rsidR="00907D84" w:rsidRPr="00907D84" w:rsidRDefault="00907D84" w:rsidP="00907D84">
            <w:pPr>
              <w:spacing w:after="0" w:line="240" w:lineRule="auto"/>
              <w:jc w:val="center"/>
            </w:pPr>
          </w:p>
        </w:tc>
        <w:tc>
          <w:tcPr>
            <w:tcW w:w="2247" w:type="dxa"/>
            <w:vAlign w:val="center"/>
            <w:hideMark/>
          </w:tcPr>
          <w:p w14:paraId="10707E64" w14:textId="77777777" w:rsidR="00907D84" w:rsidRPr="00907D84" w:rsidRDefault="00907D84" w:rsidP="00907D84">
            <w:pPr>
              <w:spacing w:after="0" w:line="240" w:lineRule="auto"/>
              <w:jc w:val="center"/>
            </w:pPr>
            <w:proofErr w:type="spellStart"/>
            <w:r w:rsidRPr="00907D84">
              <w:t>Jambali</w:t>
            </w:r>
            <w:proofErr w:type="spellEnd"/>
          </w:p>
        </w:tc>
        <w:tc>
          <w:tcPr>
            <w:tcW w:w="1739" w:type="dxa"/>
            <w:vAlign w:val="center"/>
            <w:hideMark/>
          </w:tcPr>
          <w:p w14:paraId="46AD8E3B" w14:textId="77777777" w:rsidR="00907D84" w:rsidRPr="00907D84" w:rsidRDefault="00907D84" w:rsidP="00907D84">
            <w:pPr>
              <w:spacing w:after="0" w:line="240" w:lineRule="auto"/>
              <w:jc w:val="center"/>
            </w:pPr>
            <w:proofErr w:type="spellStart"/>
            <w:r w:rsidRPr="00907D84">
              <w:t>Madarounfa</w:t>
            </w:r>
            <w:proofErr w:type="spellEnd"/>
          </w:p>
        </w:tc>
        <w:tc>
          <w:tcPr>
            <w:tcW w:w="1993" w:type="dxa"/>
            <w:vAlign w:val="center"/>
            <w:hideMark/>
          </w:tcPr>
          <w:p w14:paraId="0B36475A" w14:textId="77777777" w:rsidR="00907D84" w:rsidRPr="00907D84" w:rsidRDefault="00907D84" w:rsidP="00907D84">
            <w:pPr>
              <w:spacing w:after="0" w:line="240" w:lineRule="auto"/>
              <w:jc w:val="center"/>
            </w:pPr>
            <w:proofErr w:type="spellStart"/>
            <w:r w:rsidRPr="00907D84">
              <w:t>Madarounfa</w:t>
            </w:r>
            <w:proofErr w:type="spellEnd"/>
          </w:p>
        </w:tc>
      </w:tr>
      <w:tr w:rsidR="00907D84" w:rsidRPr="00907D84" w14:paraId="29724D13" w14:textId="77777777" w:rsidTr="00FF5A0B">
        <w:trPr>
          <w:trHeight w:val="20"/>
        </w:trPr>
        <w:tc>
          <w:tcPr>
            <w:tcW w:w="846" w:type="dxa"/>
            <w:vMerge/>
            <w:vAlign w:val="center"/>
            <w:hideMark/>
          </w:tcPr>
          <w:p w14:paraId="2F919ABA" w14:textId="77777777" w:rsidR="00907D84" w:rsidRPr="00907D84" w:rsidRDefault="00907D84" w:rsidP="00907D84">
            <w:pPr>
              <w:spacing w:after="0" w:line="240" w:lineRule="auto"/>
              <w:jc w:val="center"/>
            </w:pPr>
          </w:p>
        </w:tc>
        <w:tc>
          <w:tcPr>
            <w:tcW w:w="3139" w:type="dxa"/>
            <w:vMerge/>
            <w:vAlign w:val="center"/>
          </w:tcPr>
          <w:p w14:paraId="7FE9A02B" w14:textId="77777777" w:rsidR="00907D84" w:rsidRPr="00907D84" w:rsidRDefault="00907D84" w:rsidP="00907D84">
            <w:pPr>
              <w:spacing w:after="0" w:line="240" w:lineRule="auto"/>
              <w:jc w:val="center"/>
            </w:pPr>
          </w:p>
        </w:tc>
        <w:tc>
          <w:tcPr>
            <w:tcW w:w="2247" w:type="dxa"/>
            <w:vAlign w:val="center"/>
            <w:hideMark/>
          </w:tcPr>
          <w:p w14:paraId="40B28037" w14:textId="77777777" w:rsidR="00907D84" w:rsidRPr="00907D84" w:rsidRDefault="00907D84" w:rsidP="00907D84">
            <w:pPr>
              <w:spacing w:after="0" w:line="240" w:lineRule="auto"/>
              <w:jc w:val="center"/>
            </w:pPr>
            <w:proofErr w:type="spellStart"/>
            <w:r w:rsidRPr="00907D84">
              <w:t>Gadaou</w:t>
            </w:r>
            <w:proofErr w:type="spellEnd"/>
          </w:p>
        </w:tc>
        <w:tc>
          <w:tcPr>
            <w:tcW w:w="1739" w:type="dxa"/>
            <w:vAlign w:val="center"/>
            <w:hideMark/>
          </w:tcPr>
          <w:p w14:paraId="1AED9BB8" w14:textId="77777777" w:rsidR="00907D84" w:rsidRPr="00907D84" w:rsidRDefault="00907D84" w:rsidP="00907D84">
            <w:pPr>
              <w:spacing w:after="0" w:line="240" w:lineRule="auto"/>
              <w:jc w:val="center"/>
            </w:pPr>
            <w:proofErr w:type="spellStart"/>
            <w:r w:rsidRPr="00907D84">
              <w:t>Baoudéta</w:t>
            </w:r>
            <w:proofErr w:type="spellEnd"/>
          </w:p>
        </w:tc>
        <w:tc>
          <w:tcPr>
            <w:tcW w:w="1993" w:type="dxa"/>
            <w:vAlign w:val="center"/>
            <w:hideMark/>
          </w:tcPr>
          <w:p w14:paraId="287B9E3D" w14:textId="77777777" w:rsidR="00907D84" w:rsidRPr="00907D84" w:rsidRDefault="00907D84" w:rsidP="00907D84">
            <w:pPr>
              <w:spacing w:after="0" w:line="240" w:lineRule="auto"/>
              <w:jc w:val="center"/>
            </w:pPr>
            <w:r w:rsidRPr="00907D84">
              <w:t>Tessaoua</w:t>
            </w:r>
          </w:p>
        </w:tc>
      </w:tr>
      <w:tr w:rsidR="00907D84" w:rsidRPr="00907D84" w14:paraId="7E73FCD9" w14:textId="77777777" w:rsidTr="005B7AEB">
        <w:trPr>
          <w:trHeight w:val="277"/>
        </w:trPr>
        <w:tc>
          <w:tcPr>
            <w:tcW w:w="846" w:type="dxa"/>
            <w:vMerge w:val="restart"/>
            <w:vAlign w:val="center"/>
          </w:tcPr>
          <w:p w14:paraId="21038D3F" w14:textId="77777777" w:rsidR="00907D84" w:rsidRPr="00907D84" w:rsidRDefault="00907D84" w:rsidP="00907D84">
            <w:pPr>
              <w:spacing w:after="0" w:line="240" w:lineRule="auto"/>
              <w:jc w:val="center"/>
            </w:pPr>
            <w:r w:rsidRPr="00907D84">
              <w:t>2</w:t>
            </w:r>
          </w:p>
        </w:tc>
        <w:tc>
          <w:tcPr>
            <w:tcW w:w="3139" w:type="dxa"/>
            <w:vMerge w:val="restart"/>
            <w:vAlign w:val="center"/>
          </w:tcPr>
          <w:p w14:paraId="204E7E55" w14:textId="77777777" w:rsidR="00907D84" w:rsidRPr="00907D84" w:rsidRDefault="00907D84" w:rsidP="00907D84">
            <w:pPr>
              <w:spacing w:after="0" w:line="240" w:lineRule="auto"/>
              <w:jc w:val="center"/>
            </w:pPr>
            <w:r w:rsidRPr="00907D84">
              <w:t>Aménagement de cinq (05) sites dans la région d’Agadez</w:t>
            </w:r>
          </w:p>
        </w:tc>
        <w:tc>
          <w:tcPr>
            <w:tcW w:w="2247" w:type="dxa"/>
            <w:vAlign w:val="center"/>
          </w:tcPr>
          <w:p w14:paraId="7E51518D" w14:textId="77777777" w:rsidR="00907D84" w:rsidRPr="00907D84" w:rsidRDefault="00907D84" w:rsidP="00907D84">
            <w:pPr>
              <w:tabs>
                <w:tab w:val="left" w:pos="426"/>
              </w:tabs>
              <w:suppressAutoHyphens/>
              <w:overflowPunct w:val="0"/>
              <w:autoSpaceDE w:val="0"/>
              <w:autoSpaceDN w:val="0"/>
              <w:adjustRightInd w:val="0"/>
              <w:spacing w:before="120" w:after="120"/>
              <w:jc w:val="center"/>
              <w:textAlignment w:val="baseline"/>
            </w:pPr>
            <w:proofErr w:type="spellStart"/>
            <w:r w:rsidRPr="00907D84">
              <w:t>Tarinkit</w:t>
            </w:r>
            <w:proofErr w:type="spellEnd"/>
          </w:p>
        </w:tc>
        <w:tc>
          <w:tcPr>
            <w:tcW w:w="1739" w:type="dxa"/>
            <w:vAlign w:val="center"/>
          </w:tcPr>
          <w:p w14:paraId="10B283CA" w14:textId="77777777" w:rsidR="00907D84" w:rsidRPr="00907D84" w:rsidRDefault="00907D84" w:rsidP="00907D84">
            <w:pPr>
              <w:tabs>
                <w:tab w:val="left" w:pos="426"/>
              </w:tabs>
              <w:suppressAutoHyphens/>
              <w:overflowPunct w:val="0"/>
              <w:autoSpaceDE w:val="0"/>
              <w:autoSpaceDN w:val="0"/>
              <w:adjustRightInd w:val="0"/>
              <w:spacing w:before="120" w:after="120" w:line="240" w:lineRule="auto"/>
              <w:jc w:val="center"/>
              <w:textAlignment w:val="baseline"/>
            </w:pPr>
            <w:proofErr w:type="spellStart"/>
            <w:r w:rsidRPr="00907D84">
              <w:t>Dannet</w:t>
            </w:r>
            <w:proofErr w:type="spellEnd"/>
          </w:p>
        </w:tc>
        <w:tc>
          <w:tcPr>
            <w:tcW w:w="1993" w:type="dxa"/>
            <w:vAlign w:val="center"/>
          </w:tcPr>
          <w:p w14:paraId="2B768FB6" w14:textId="77777777" w:rsidR="00907D84" w:rsidRPr="00907D84" w:rsidRDefault="00907D84" w:rsidP="00907D84">
            <w:pPr>
              <w:tabs>
                <w:tab w:val="left" w:pos="426"/>
              </w:tabs>
              <w:suppressAutoHyphens/>
              <w:overflowPunct w:val="0"/>
              <w:autoSpaceDE w:val="0"/>
              <w:autoSpaceDN w:val="0"/>
              <w:adjustRightInd w:val="0"/>
              <w:spacing w:before="120" w:after="120" w:line="240" w:lineRule="auto"/>
              <w:jc w:val="center"/>
              <w:textAlignment w:val="baseline"/>
            </w:pPr>
            <w:proofErr w:type="spellStart"/>
            <w:r w:rsidRPr="00907D84">
              <w:t>Tchirozérine</w:t>
            </w:r>
            <w:proofErr w:type="spellEnd"/>
          </w:p>
        </w:tc>
      </w:tr>
      <w:tr w:rsidR="00907D84" w:rsidRPr="00907D84" w14:paraId="1B905BFA" w14:textId="77777777" w:rsidTr="00FF5A0B">
        <w:trPr>
          <w:trHeight w:val="20"/>
        </w:trPr>
        <w:tc>
          <w:tcPr>
            <w:tcW w:w="846" w:type="dxa"/>
            <w:vMerge/>
            <w:vAlign w:val="center"/>
          </w:tcPr>
          <w:p w14:paraId="42B818D4" w14:textId="77777777" w:rsidR="00907D84" w:rsidRPr="00907D84" w:rsidRDefault="00907D84" w:rsidP="00907D84">
            <w:pPr>
              <w:spacing w:after="0" w:line="240" w:lineRule="auto"/>
              <w:jc w:val="center"/>
            </w:pPr>
          </w:p>
        </w:tc>
        <w:tc>
          <w:tcPr>
            <w:tcW w:w="3139" w:type="dxa"/>
            <w:vMerge/>
            <w:vAlign w:val="center"/>
          </w:tcPr>
          <w:p w14:paraId="2B9D4A91" w14:textId="77777777" w:rsidR="00907D84" w:rsidRPr="00907D84" w:rsidRDefault="00907D84" w:rsidP="00907D84">
            <w:pPr>
              <w:spacing w:after="0" w:line="240" w:lineRule="auto"/>
              <w:jc w:val="center"/>
            </w:pPr>
          </w:p>
        </w:tc>
        <w:tc>
          <w:tcPr>
            <w:tcW w:w="2247" w:type="dxa"/>
            <w:vAlign w:val="center"/>
          </w:tcPr>
          <w:p w14:paraId="4C427670" w14:textId="77777777" w:rsidR="00907D84" w:rsidRPr="00907D84" w:rsidRDefault="00907D84" w:rsidP="00907D84">
            <w:pPr>
              <w:spacing w:after="0" w:line="240" w:lineRule="auto"/>
              <w:jc w:val="center"/>
            </w:pPr>
            <w:r w:rsidRPr="00907D84">
              <w:t>Inkaf</w:t>
            </w:r>
          </w:p>
        </w:tc>
        <w:tc>
          <w:tcPr>
            <w:tcW w:w="1739" w:type="dxa"/>
            <w:vAlign w:val="center"/>
          </w:tcPr>
          <w:p w14:paraId="2CC697C1" w14:textId="77777777" w:rsidR="00907D84" w:rsidRPr="00907D84" w:rsidRDefault="00907D84" w:rsidP="00907D84">
            <w:pPr>
              <w:spacing w:after="0" w:line="240" w:lineRule="auto"/>
              <w:jc w:val="center"/>
            </w:pPr>
            <w:proofErr w:type="spellStart"/>
            <w:r w:rsidRPr="00907D84">
              <w:t>Inghal</w:t>
            </w:r>
            <w:proofErr w:type="spellEnd"/>
          </w:p>
        </w:tc>
        <w:tc>
          <w:tcPr>
            <w:tcW w:w="1993" w:type="dxa"/>
            <w:vAlign w:val="center"/>
          </w:tcPr>
          <w:p w14:paraId="59B8A49F" w14:textId="77777777" w:rsidR="00907D84" w:rsidRPr="00907D84" w:rsidRDefault="00907D84" w:rsidP="00907D84">
            <w:pPr>
              <w:spacing w:after="0" w:line="240" w:lineRule="auto"/>
              <w:jc w:val="center"/>
            </w:pPr>
            <w:proofErr w:type="spellStart"/>
            <w:r w:rsidRPr="00907D84">
              <w:t>Inghal</w:t>
            </w:r>
            <w:proofErr w:type="spellEnd"/>
          </w:p>
        </w:tc>
      </w:tr>
      <w:tr w:rsidR="00907D84" w:rsidRPr="00907D84" w14:paraId="4D91D9F8" w14:textId="77777777" w:rsidTr="00FF5A0B">
        <w:trPr>
          <w:trHeight w:val="20"/>
        </w:trPr>
        <w:tc>
          <w:tcPr>
            <w:tcW w:w="846" w:type="dxa"/>
            <w:vMerge/>
            <w:vAlign w:val="center"/>
          </w:tcPr>
          <w:p w14:paraId="0C255519" w14:textId="77777777" w:rsidR="00907D84" w:rsidRPr="00907D84" w:rsidRDefault="00907D84" w:rsidP="00907D84">
            <w:pPr>
              <w:spacing w:after="0" w:line="240" w:lineRule="auto"/>
              <w:jc w:val="center"/>
            </w:pPr>
          </w:p>
        </w:tc>
        <w:tc>
          <w:tcPr>
            <w:tcW w:w="3139" w:type="dxa"/>
            <w:vMerge/>
            <w:vAlign w:val="center"/>
          </w:tcPr>
          <w:p w14:paraId="0F3E5A4E" w14:textId="77777777" w:rsidR="00907D84" w:rsidRPr="00907D84" w:rsidRDefault="00907D84" w:rsidP="00907D84">
            <w:pPr>
              <w:spacing w:after="0" w:line="240" w:lineRule="auto"/>
              <w:jc w:val="center"/>
            </w:pPr>
          </w:p>
        </w:tc>
        <w:tc>
          <w:tcPr>
            <w:tcW w:w="2247" w:type="dxa"/>
            <w:vAlign w:val="center"/>
          </w:tcPr>
          <w:p w14:paraId="38E6F550" w14:textId="19A0CEF3" w:rsidR="00907D84" w:rsidRPr="00907D84" w:rsidRDefault="00907D84" w:rsidP="00907D84">
            <w:pPr>
              <w:spacing w:after="0" w:line="240" w:lineRule="auto"/>
              <w:jc w:val="center"/>
            </w:pPr>
            <w:proofErr w:type="spellStart"/>
            <w:r w:rsidRPr="00907D84">
              <w:t>Souloufet</w:t>
            </w:r>
            <w:proofErr w:type="spellEnd"/>
          </w:p>
        </w:tc>
        <w:tc>
          <w:tcPr>
            <w:tcW w:w="1739" w:type="dxa"/>
            <w:vMerge w:val="restart"/>
            <w:vAlign w:val="center"/>
          </w:tcPr>
          <w:p w14:paraId="0F5DC7A5" w14:textId="77777777" w:rsidR="00907D84" w:rsidRPr="00907D84" w:rsidRDefault="00907D84" w:rsidP="00907D84">
            <w:pPr>
              <w:spacing w:after="0" w:line="240" w:lineRule="auto"/>
              <w:jc w:val="center"/>
            </w:pPr>
            <w:r w:rsidRPr="00907D84">
              <w:t>Timia</w:t>
            </w:r>
          </w:p>
        </w:tc>
        <w:tc>
          <w:tcPr>
            <w:tcW w:w="1993" w:type="dxa"/>
            <w:vMerge w:val="restart"/>
            <w:vAlign w:val="center"/>
          </w:tcPr>
          <w:p w14:paraId="1BC0C6A8" w14:textId="77777777" w:rsidR="00907D84" w:rsidRPr="00907D84" w:rsidRDefault="00907D84" w:rsidP="00907D84">
            <w:pPr>
              <w:spacing w:after="0" w:line="240" w:lineRule="auto"/>
              <w:jc w:val="center"/>
            </w:pPr>
            <w:proofErr w:type="spellStart"/>
            <w:r w:rsidRPr="00907D84">
              <w:t>Iférouane</w:t>
            </w:r>
            <w:proofErr w:type="spellEnd"/>
          </w:p>
        </w:tc>
      </w:tr>
      <w:tr w:rsidR="00907D84" w:rsidRPr="00907D84" w14:paraId="2E634AFB" w14:textId="77777777" w:rsidTr="00FF5A0B">
        <w:trPr>
          <w:trHeight w:val="20"/>
        </w:trPr>
        <w:tc>
          <w:tcPr>
            <w:tcW w:w="846" w:type="dxa"/>
            <w:vMerge/>
            <w:vAlign w:val="center"/>
          </w:tcPr>
          <w:p w14:paraId="6F63EF1C" w14:textId="77777777" w:rsidR="00907D84" w:rsidRPr="00907D84" w:rsidRDefault="00907D84" w:rsidP="00907D84">
            <w:pPr>
              <w:spacing w:after="0" w:line="240" w:lineRule="auto"/>
              <w:jc w:val="center"/>
            </w:pPr>
          </w:p>
        </w:tc>
        <w:tc>
          <w:tcPr>
            <w:tcW w:w="3139" w:type="dxa"/>
            <w:vMerge/>
            <w:vAlign w:val="center"/>
          </w:tcPr>
          <w:p w14:paraId="67D8F437" w14:textId="77777777" w:rsidR="00907D84" w:rsidRPr="00907D84" w:rsidRDefault="00907D84" w:rsidP="00907D84">
            <w:pPr>
              <w:spacing w:after="0" w:line="240" w:lineRule="auto"/>
              <w:jc w:val="center"/>
            </w:pPr>
          </w:p>
        </w:tc>
        <w:tc>
          <w:tcPr>
            <w:tcW w:w="2247" w:type="dxa"/>
            <w:vAlign w:val="center"/>
          </w:tcPr>
          <w:p w14:paraId="091DC351" w14:textId="77777777" w:rsidR="00907D84" w:rsidRPr="00907D84" w:rsidRDefault="00907D84" w:rsidP="00907D84">
            <w:pPr>
              <w:spacing w:after="0" w:line="240" w:lineRule="auto"/>
              <w:jc w:val="center"/>
            </w:pPr>
            <w:proofErr w:type="spellStart"/>
            <w:r w:rsidRPr="00907D84">
              <w:t>Ebourkoum</w:t>
            </w:r>
            <w:proofErr w:type="spellEnd"/>
          </w:p>
        </w:tc>
        <w:tc>
          <w:tcPr>
            <w:tcW w:w="1739" w:type="dxa"/>
            <w:vMerge/>
            <w:vAlign w:val="center"/>
          </w:tcPr>
          <w:p w14:paraId="55DAAC07" w14:textId="77777777" w:rsidR="00907D84" w:rsidRPr="00907D84" w:rsidRDefault="00907D84" w:rsidP="00907D84">
            <w:pPr>
              <w:spacing w:after="0" w:line="240" w:lineRule="auto"/>
              <w:jc w:val="center"/>
            </w:pPr>
          </w:p>
        </w:tc>
        <w:tc>
          <w:tcPr>
            <w:tcW w:w="1993" w:type="dxa"/>
            <w:vMerge/>
            <w:vAlign w:val="center"/>
          </w:tcPr>
          <w:p w14:paraId="41066BD3" w14:textId="77777777" w:rsidR="00907D84" w:rsidRPr="00907D84" w:rsidRDefault="00907D84" w:rsidP="00907D84">
            <w:pPr>
              <w:spacing w:after="0" w:line="240" w:lineRule="auto"/>
              <w:jc w:val="center"/>
            </w:pPr>
          </w:p>
        </w:tc>
      </w:tr>
      <w:tr w:rsidR="00907D84" w:rsidRPr="00907D84" w14:paraId="7C8999C1" w14:textId="77777777" w:rsidTr="00FF5A0B">
        <w:trPr>
          <w:trHeight w:val="20"/>
        </w:trPr>
        <w:tc>
          <w:tcPr>
            <w:tcW w:w="846" w:type="dxa"/>
            <w:vMerge/>
            <w:vAlign w:val="center"/>
          </w:tcPr>
          <w:p w14:paraId="3240440B" w14:textId="77777777" w:rsidR="00907D84" w:rsidRPr="00907D84" w:rsidRDefault="00907D84" w:rsidP="00907D84">
            <w:pPr>
              <w:spacing w:after="0" w:line="240" w:lineRule="auto"/>
              <w:jc w:val="center"/>
            </w:pPr>
          </w:p>
        </w:tc>
        <w:tc>
          <w:tcPr>
            <w:tcW w:w="3139" w:type="dxa"/>
            <w:vMerge/>
            <w:vAlign w:val="center"/>
          </w:tcPr>
          <w:p w14:paraId="667F3110" w14:textId="77777777" w:rsidR="00907D84" w:rsidRPr="00907D84" w:rsidRDefault="00907D84" w:rsidP="00907D84">
            <w:pPr>
              <w:spacing w:after="0" w:line="240" w:lineRule="auto"/>
              <w:jc w:val="center"/>
            </w:pPr>
          </w:p>
        </w:tc>
        <w:tc>
          <w:tcPr>
            <w:tcW w:w="2247" w:type="dxa"/>
            <w:vAlign w:val="center"/>
          </w:tcPr>
          <w:p w14:paraId="388A0F33" w14:textId="77777777" w:rsidR="00907D84" w:rsidRPr="00907D84" w:rsidRDefault="00907D84" w:rsidP="00907D84">
            <w:pPr>
              <w:spacing w:after="0" w:line="240" w:lineRule="auto"/>
              <w:jc w:val="center"/>
            </w:pPr>
            <w:proofErr w:type="spellStart"/>
            <w:r w:rsidRPr="00907D84">
              <w:t>Tagnaw</w:t>
            </w:r>
            <w:proofErr w:type="spellEnd"/>
          </w:p>
        </w:tc>
        <w:tc>
          <w:tcPr>
            <w:tcW w:w="1739" w:type="dxa"/>
            <w:vMerge/>
            <w:vAlign w:val="center"/>
          </w:tcPr>
          <w:p w14:paraId="2375EFF2" w14:textId="77777777" w:rsidR="00907D84" w:rsidRPr="00907D84" w:rsidRDefault="00907D84" w:rsidP="00907D84">
            <w:pPr>
              <w:spacing w:after="0" w:line="240" w:lineRule="auto"/>
              <w:jc w:val="center"/>
            </w:pPr>
          </w:p>
        </w:tc>
        <w:tc>
          <w:tcPr>
            <w:tcW w:w="1993" w:type="dxa"/>
            <w:vMerge/>
            <w:vAlign w:val="center"/>
          </w:tcPr>
          <w:p w14:paraId="7E82D746" w14:textId="77777777" w:rsidR="00907D84" w:rsidRPr="00907D84" w:rsidRDefault="00907D84" w:rsidP="00907D84">
            <w:pPr>
              <w:spacing w:after="0" w:line="240" w:lineRule="auto"/>
              <w:jc w:val="center"/>
            </w:pPr>
          </w:p>
        </w:tc>
      </w:tr>
      <w:tr w:rsidR="00907D84" w:rsidRPr="00907D84" w14:paraId="53152F90" w14:textId="77777777" w:rsidTr="00FF5A0B">
        <w:trPr>
          <w:trHeight w:val="20"/>
        </w:trPr>
        <w:tc>
          <w:tcPr>
            <w:tcW w:w="846" w:type="dxa"/>
            <w:vAlign w:val="center"/>
          </w:tcPr>
          <w:p w14:paraId="45DC6EBC" w14:textId="77777777" w:rsidR="00907D84" w:rsidRPr="00907D84" w:rsidRDefault="00907D84" w:rsidP="00907D84">
            <w:pPr>
              <w:spacing w:after="0" w:line="240" w:lineRule="auto"/>
              <w:jc w:val="center"/>
            </w:pPr>
            <w:r w:rsidRPr="00907D84">
              <w:t>3</w:t>
            </w:r>
          </w:p>
        </w:tc>
        <w:tc>
          <w:tcPr>
            <w:tcW w:w="3139" w:type="dxa"/>
            <w:vAlign w:val="center"/>
          </w:tcPr>
          <w:p w14:paraId="3490F23F" w14:textId="77777777" w:rsidR="00907D84" w:rsidRPr="00907D84" w:rsidRDefault="00907D84" w:rsidP="00907D84">
            <w:pPr>
              <w:spacing w:after="0" w:line="240" w:lineRule="auto"/>
              <w:jc w:val="center"/>
            </w:pPr>
            <w:r w:rsidRPr="00907D84">
              <w:t>Aménagement d’un (01) site dans la région de Tillabéri</w:t>
            </w:r>
          </w:p>
        </w:tc>
        <w:tc>
          <w:tcPr>
            <w:tcW w:w="2247" w:type="dxa"/>
            <w:vAlign w:val="center"/>
          </w:tcPr>
          <w:p w14:paraId="37AA2D75" w14:textId="1EF164A6" w:rsidR="00907D84" w:rsidRPr="00907D84" w:rsidRDefault="00907D84" w:rsidP="00907D84">
            <w:pPr>
              <w:spacing w:after="0" w:line="240" w:lineRule="auto"/>
              <w:jc w:val="center"/>
            </w:pPr>
            <w:proofErr w:type="spellStart"/>
            <w:r w:rsidRPr="00907D84">
              <w:t>Sansani</w:t>
            </w:r>
            <w:proofErr w:type="spellEnd"/>
            <w:r>
              <w:t xml:space="preserve"> </w:t>
            </w:r>
            <w:proofErr w:type="spellStart"/>
            <w:r w:rsidRPr="00907D84">
              <w:t>Haouassa</w:t>
            </w:r>
            <w:proofErr w:type="spellEnd"/>
            <w:r w:rsidRPr="00907D84">
              <w:t xml:space="preserve"> (</w:t>
            </w:r>
            <w:proofErr w:type="spellStart"/>
            <w:r w:rsidRPr="00907D84">
              <w:t>Silboli</w:t>
            </w:r>
            <w:proofErr w:type="spellEnd"/>
            <w:r w:rsidRPr="00907D84">
              <w:t>)</w:t>
            </w:r>
          </w:p>
        </w:tc>
        <w:tc>
          <w:tcPr>
            <w:tcW w:w="1739" w:type="dxa"/>
            <w:vAlign w:val="center"/>
          </w:tcPr>
          <w:p w14:paraId="169EC1CA" w14:textId="77777777" w:rsidR="00907D84" w:rsidRPr="00907D84" w:rsidRDefault="00907D84" w:rsidP="00907D84">
            <w:pPr>
              <w:spacing w:after="0" w:line="240" w:lineRule="auto"/>
              <w:jc w:val="center"/>
            </w:pPr>
            <w:proofErr w:type="spellStart"/>
            <w:r w:rsidRPr="00907D84">
              <w:t>Kourtheye</w:t>
            </w:r>
            <w:proofErr w:type="spellEnd"/>
          </w:p>
        </w:tc>
        <w:tc>
          <w:tcPr>
            <w:tcW w:w="1993" w:type="dxa"/>
            <w:vAlign w:val="center"/>
          </w:tcPr>
          <w:p w14:paraId="637D2584" w14:textId="77777777" w:rsidR="00907D84" w:rsidRPr="00907D84" w:rsidRDefault="00907D84" w:rsidP="00907D84">
            <w:pPr>
              <w:spacing w:after="0" w:line="240" w:lineRule="auto"/>
              <w:jc w:val="center"/>
            </w:pPr>
            <w:r w:rsidRPr="00907D84">
              <w:t>Tillabéri</w:t>
            </w:r>
          </w:p>
        </w:tc>
      </w:tr>
      <w:tr w:rsidR="00907D84" w:rsidRPr="00907D84" w14:paraId="321B96E6" w14:textId="77777777" w:rsidTr="00FF5A0B">
        <w:trPr>
          <w:trHeight w:val="20"/>
        </w:trPr>
        <w:tc>
          <w:tcPr>
            <w:tcW w:w="846" w:type="dxa"/>
            <w:vMerge w:val="restart"/>
            <w:vAlign w:val="center"/>
          </w:tcPr>
          <w:p w14:paraId="6ECE95C1" w14:textId="77777777" w:rsidR="00907D84" w:rsidRPr="00907D84" w:rsidRDefault="00907D84" w:rsidP="00907D84">
            <w:pPr>
              <w:spacing w:after="0" w:line="240" w:lineRule="auto"/>
              <w:jc w:val="center"/>
            </w:pPr>
            <w:r w:rsidRPr="00907D84">
              <w:t>4</w:t>
            </w:r>
          </w:p>
          <w:p w14:paraId="06540347" w14:textId="77777777" w:rsidR="00907D84" w:rsidRPr="00907D84" w:rsidRDefault="00907D84" w:rsidP="00907D84">
            <w:pPr>
              <w:spacing w:after="0" w:line="240" w:lineRule="auto"/>
              <w:jc w:val="center"/>
            </w:pPr>
          </w:p>
        </w:tc>
        <w:tc>
          <w:tcPr>
            <w:tcW w:w="3139" w:type="dxa"/>
            <w:vMerge w:val="restart"/>
            <w:vAlign w:val="center"/>
          </w:tcPr>
          <w:p w14:paraId="600E7F80" w14:textId="10977F0A" w:rsidR="00907D84" w:rsidRPr="00907D84" w:rsidRDefault="00907D84" w:rsidP="00907D84">
            <w:pPr>
              <w:spacing w:after="0" w:line="240" w:lineRule="auto"/>
              <w:jc w:val="center"/>
            </w:pPr>
            <w:r w:rsidRPr="00907D84">
              <w:t>Aménagement de six (06) sites dans la région de Dosso</w:t>
            </w:r>
          </w:p>
        </w:tc>
        <w:tc>
          <w:tcPr>
            <w:tcW w:w="2247" w:type="dxa"/>
            <w:vAlign w:val="center"/>
          </w:tcPr>
          <w:p w14:paraId="273E40FF" w14:textId="77777777" w:rsidR="00907D84" w:rsidRPr="00907D84" w:rsidRDefault="00907D84" w:rsidP="00907D84">
            <w:pPr>
              <w:spacing w:after="0" w:line="240" w:lineRule="auto"/>
              <w:jc w:val="center"/>
            </w:pPr>
            <w:r w:rsidRPr="00907D84">
              <w:t>Rozi peul</w:t>
            </w:r>
          </w:p>
        </w:tc>
        <w:tc>
          <w:tcPr>
            <w:tcW w:w="1739" w:type="dxa"/>
            <w:vAlign w:val="center"/>
          </w:tcPr>
          <w:p w14:paraId="1A5034E8" w14:textId="77777777" w:rsidR="00907D84" w:rsidRPr="00907D84" w:rsidRDefault="00907D84" w:rsidP="00907D84">
            <w:pPr>
              <w:spacing w:after="0" w:line="240" w:lineRule="auto"/>
              <w:jc w:val="center"/>
            </w:pPr>
            <w:r w:rsidRPr="00907D84">
              <w:t>N’Gonga</w:t>
            </w:r>
          </w:p>
        </w:tc>
        <w:tc>
          <w:tcPr>
            <w:tcW w:w="1993" w:type="dxa"/>
            <w:vAlign w:val="center"/>
          </w:tcPr>
          <w:p w14:paraId="120A5996" w14:textId="77777777" w:rsidR="00907D84" w:rsidRPr="00907D84" w:rsidRDefault="00907D84" w:rsidP="00907D84">
            <w:pPr>
              <w:spacing w:after="0" w:line="240" w:lineRule="auto"/>
              <w:jc w:val="center"/>
            </w:pPr>
            <w:r w:rsidRPr="00907D84">
              <w:t>Boboye</w:t>
            </w:r>
          </w:p>
        </w:tc>
      </w:tr>
      <w:tr w:rsidR="00907D84" w:rsidRPr="00907D84" w14:paraId="25E6214C" w14:textId="77777777" w:rsidTr="00FF5A0B">
        <w:trPr>
          <w:trHeight w:val="20"/>
        </w:trPr>
        <w:tc>
          <w:tcPr>
            <w:tcW w:w="846" w:type="dxa"/>
            <w:vMerge/>
            <w:vAlign w:val="center"/>
          </w:tcPr>
          <w:p w14:paraId="6778D35D" w14:textId="77777777" w:rsidR="00907D84" w:rsidRPr="00907D84" w:rsidRDefault="00907D84" w:rsidP="00907D84">
            <w:pPr>
              <w:spacing w:after="0" w:line="240" w:lineRule="auto"/>
              <w:jc w:val="center"/>
            </w:pPr>
          </w:p>
        </w:tc>
        <w:tc>
          <w:tcPr>
            <w:tcW w:w="3139" w:type="dxa"/>
            <w:vMerge/>
            <w:vAlign w:val="center"/>
          </w:tcPr>
          <w:p w14:paraId="21518083" w14:textId="77777777" w:rsidR="00907D84" w:rsidRPr="00907D84" w:rsidRDefault="00907D84" w:rsidP="00907D84">
            <w:pPr>
              <w:spacing w:after="0" w:line="240" w:lineRule="auto"/>
              <w:jc w:val="center"/>
            </w:pPr>
          </w:p>
        </w:tc>
        <w:tc>
          <w:tcPr>
            <w:tcW w:w="2247" w:type="dxa"/>
            <w:vAlign w:val="center"/>
          </w:tcPr>
          <w:p w14:paraId="189BCB52" w14:textId="2CCDBC52" w:rsidR="00907D84" w:rsidRPr="00907D84" w:rsidRDefault="00907D84" w:rsidP="00907D84">
            <w:pPr>
              <w:spacing w:after="0" w:line="240" w:lineRule="auto"/>
              <w:jc w:val="center"/>
            </w:pPr>
            <w:r w:rsidRPr="00907D84">
              <w:t>N’Gnagnolgol</w:t>
            </w:r>
          </w:p>
        </w:tc>
        <w:tc>
          <w:tcPr>
            <w:tcW w:w="1739" w:type="dxa"/>
            <w:vAlign w:val="center"/>
          </w:tcPr>
          <w:p w14:paraId="2BD3D9B7" w14:textId="77777777" w:rsidR="00907D84" w:rsidRPr="00907D84" w:rsidRDefault="00907D84" w:rsidP="00907D84">
            <w:pPr>
              <w:spacing w:after="0" w:line="240" w:lineRule="auto"/>
              <w:jc w:val="center"/>
            </w:pPr>
            <w:proofErr w:type="spellStart"/>
            <w:r w:rsidRPr="00907D84">
              <w:t>Falwel</w:t>
            </w:r>
            <w:proofErr w:type="spellEnd"/>
          </w:p>
        </w:tc>
        <w:tc>
          <w:tcPr>
            <w:tcW w:w="1993" w:type="dxa"/>
            <w:vAlign w:val="center"/>
          </w:tcPr>
          <w:p w14:paraId="7953FB8C" w14:textId="77777777" w:rsidR="00907D84" w:rsidRPr="00907D84" w:rsidRDefault="00907D84" w:rsidP="00907D84">
            <w:pPr>
              <w:spacing w:after="0" w:line="240" w:lineRule="auto"/>
              <w:jc w:val="center"/>
            </w:pPr>
            <w:r w:rsidRPr="00907D84">
              <w:t>Loga</w:t>
            </w:r>
          </w:p>
        </w:tc>
      </w:tr>
      <w:tr w:rsidR="00907D84" w:rsidRPr="00907D84" w14:paraId="68C975E0" w14:textId="77777777" w:rsidTr="00FF5A0B">
        <w:trPr>
          <w:trHeight w:val="20"/>
        </w:trPr>
        <w:tc>
          <w:tcPr>
            <w:tcW w:w="846" w:type="dxa"/>
            <w:vMerge/>
            <w:vAlign w:val="center"/>
          </w:tcPr>
          <w:p w14:paraId="089828C5" w14:textId="77777777" w:rsidR="00907D84" w:rsidRPr="00907D84" w:rsidRDefault="00907D84" w:rsidP="00907D84">
            <w:pPr>
              <w:spacing w:after="0" w:line="240" w:lineRule="auto"/>
              <w:jc w:val="center"/>
            </w:pPr>
          </w:p>
        </w:tc>
        <w:tc>
          <w:tcPr>
            <w:tcW w:w="3139" w:type="dxa"/>
            <w:vMerge/>
            <w:vAlign w:val="center"/>
          </w:tcPr>
          <w:p w14:paraId="5060BDF8" w14:textId="77777777" w:rsidR="00907D84" w:rsidRPr="00907D84" w:rsidRDefault="00907D84" w:rsidP="00907D84">
            <w:pPr>
              <w:spacing w:after="0" w:line="240" w:lineRule="auto"/>
              <w:jc w:val="center"/>
            </w:pPr>
          </w:p>
        </w:tc>
        <w:tc>
          <w:tcPr>
            <w:tcW w:w="2247" w:type="dxa"/>
            <w:vAlign w:val="center"/>
          </w:tcPr>
          <w:p w14:paraId="753F47FE" w14:textId="49D12C5E" w:rsidR="00907D84" w:rsidRPr="00907D84" w:rsidRDefault="00907D84" w:rsidP="00907D84">
            <w:pPr>
              <w:spacing w:after="0" w:line="240" w:lineRule="auto"/>
              <w:jc w:val="center"/>
            </w:pPr>
            <w:proofErr w:type="spellStart"/>
            <w:r w:rsidRPr="00907D84">
              <w:t>Lokoko</w:t>
            </w:r>
            <w:proofErr w:type="spellEnd"/>
          </w:p>
        </w:tc>
        <w:tc>
          <w:tcPr>
            <w:tcW w:w="1739" w:type="dxa"/>
            <w:vAlign w:val="center"/>
          </w:tcPr>
          <w:p w14:paraId="4C1AD7A0" w14:textId="789FFD84" w:rsidR="00907D84" w:rsidRPr="00907D84" w:rsidRDefault="00907D84" w:rsidP="00907D84">
            <w:pPr>
              <w:spacing w:after="0" w:line="240" w:lineRule="auto"/>
              <w:jc w:val="center"/>
            </w:pPr>
            <w:proofErr w:type="spellStart"/>
            <w:r w:rsidRPr="00907D84">
              <w:t>Guechemé</w:t>
            </w:r>
            <w:proofErr w:type="spellEnd"/>
          </w:p>
        </w:tc>
        <w:tc>
          <w:tcPr>
            <w:tcW w:w="1993" w:type="dxa"/>
            <w:vAlign w:val="center"/>
          </w:tcPr>
          <w:p w14:paraId="3CCEE8E5" w14:textId="77777777" w:rsidR="00907D84" w:rsidRPr="00907D84" w:rsidRDefault="00907D84" w:rsidP="00907D84">
            <w:pPr>
              <w:spacing w:after="0" w:line="240" w:lineRule="auto"/>
              <w:jc w:val="center"/>
            </w:pPr>
            <w:proofErr w:type="spellStart"/>
            <w:r w:rsidRPr="00907D84">
              <w:t>Tibiri</w:t>
            </w:r>
            <w:proofErr w:type="spellEnd"/>
          </w:p>
        </w:tc>
      </w:tr>
      <w:tr w:rsidR="00907D84" w:rsidRPr="00907D84" w14:paraId="64A9490C" w14:textId="77777777" w:rsidTr="00FF5A0B">
        <w:trPr>
          <w:trHeight w:val="20"/>
        </w:trPr>
        <w:tc>
          <w:tcPr>
            <w:tcW w:w="846" w:type="dxa"/>
            <w:vMerge/>
            <w:vAlign w:val="center"/>
          </w:tcPr>
          <w:p w14:paraId="13BC06AB" w14:textId="77777777" w:rsidR="00907D84" w:rsidRPr="00907D84" w:rsidRDefault="00907D84" w:rsidP="00907D84">
            <w:pPr>
              <w:spacing w:after="0" w:line="240" w:lineRule="auto"/>
              <w:jc w:val="center"/>
            </w:pPr>
          </w:p>
        </w:tc>
        <w:tc>
          <w:tcPr>
            <w:tcW w:w="3139" w:type="dxa"/>
            <w:vMerge/>
            <w:vAlign w:val="center"/>
          </w:tcPr>
          <w:p w14:paraId="2F587E00" w14:textId="77777777" w:rsidR="00907D84" w:rsidRPr="00907D84" w:rsidRDefault="00907D84" w:rsidP="00907D84">
            <w:pPr>
              <w:spacing w:after="0" w:line="240" w:lineRule="auto"/>
              <w:jc w:val="center"/>
            </w:pPr>
          </w:p>
        </w:tc>
        <w:tc>
          <w:tcPr>
            <w:tcW w:w="2247" w:type="dxa"/>
            <w:vAlign w:val="center"/>
          </w:tcPr>
          <w:p w14:paraId="5AF36840" w14:textId="69817F37" w:rsidR="00907D84" w:rsidRPr="00907D84" w:rsidRDefault="00907D84" w:rsidP="00907D84">
            <w:pPr>
              <w:spacing w:after="0" w:line="240" w:lineRule="auto"/>
              <w:jc w:val="center"/>
            </w:pPr>
            <w:r w:rsidRPr="00907D84">
              <w:t>Kessa</w:t>
            </w:r>
          </w:p>
        </w:tc>
        <w:tc>
          <w:tcPr>
            <w:tcW w:w="1739" w:type="dxa"/>
            <w:vAlign w:val="center"/>
          </w:tcPr>
          <w:p w14:paraId="7D3529C3" w14:textId="27FA5665" w:rsidR="00907D84" w:rsidRPr="00907D84" w:rsidRDefault="00907D84" w:rsidP="00907D84">
            <w:pPr>
              <w:spacing w:after="0" w:line="240" w:lineRule="auto"/>
              <w:jc w:val="center"/>
            </w:pPr>
            <w:r w:rsidRPr="00907D84">
              <w:t>Gaya</w:t>
            </w:r>
          </w:p>
        </w:tc>
        <w:tc>
          <w:tcPr>
            <w:tcW w:w="1993" w:type="dxa"/>
            <w:vAlign w:val="center"/>
          </w:tcPr>
          <w:p w14:paraId="7B902A07" w14:textId="77777777" w:rsidR="00907D84" w:rsidRPr="00907D84" w:rsidRDefault="00907D84" w:rsidP="00907D84">
            <w:pPr>
              <w:spacing w:after="0" w:line="240" w:lineRule="auto"/>
              <w:jc w:val="center"/>
            </w:pPr>
            <w:r w:rsidRPr="00907D84">
              <w:t>Gaya</w:t>
            </w:r>
          </w:p>
        </w:tc>
      </w:tr>
      <w:tr w:rsidR="00907D84" w:rsidRPr="00907D84" w14:paraId="27DEA6A7" w14:textId="77777777" w:rsidTr="00FF5A0B">
        <w:trPr>
          <w:trHeight w:val="20"/>
        </w:trPr>
        <w:tc>
          <w:tcPr>
            <w:tcW w:w="846" w:type="dxa"/>
            <w:vMerge/>
            <w:vAlign w:val="center"/>
          </w:tcPr>
          <w:p w14:paraId="4D6450F6" w14:textId="77777777" w:rsidR="00907D84" w:rsidRPr="00907D84" w:rsidRDefault="00907D84" w:rsidP="00907D84">
            <w:pPr>
              <w:spacing w:after="0" w:line="240" w:lineRule="auto"/>
              <w:jc w:val="center"/>
            </w:pPr>
          </w:p>
        </w:tc>
        <w:tc>
          <w:tcPr>
            <w:tcW w:w="3139" w:type="dxa"/>
            <w:vMerge/>
            <w:vAlign w:val="center"/>
          </w:tcPr>
          <w:p w14:paraId="1C82D405" w14:textId="77777777" w:rsidR="00907D84" w:rsidRPr="00907D84" w:rsidRDefault="00907D84" w:rsidP="00907D84">
            <w:pPr>
              <w:spacing w:after="0" w:line="240" w:lineRule="auto"/>
              <w:jc w:val="center"/>
            </w:pPr>
          </w:p>
        </w:tc>
        <w:tc>
          <w:tcPr>
            <w:tcW w:w="2247" w:type="dxa"/>
            <w:vAlign w:val="center"/>
          </w:tcPr>
          <w:p w14:paraId="1828D1CB" w14:textId="4D5EBFAC" w:rsidR="00907D84" w:rsidRPr="00907D84" w:rsidRDefault="00907D84" w:rsidP="00907D84">
            <w:pPr>
              <w:spacing w:after="0" w:line="240" w:lineRule="auto"/>
              <w:jc w:val="center"/>
            </w:pPr>
            <w:proofErr w:type="spellStart"/>
            <w:r w:rsidRPr="00907D84">
              <w:t>Gatawani</w:t>
            </w:r>
            <w:proofErr w:type="spellEnd"/>
          </w:p>
        </w:tc>
        <w:tc>
          <w:tcPr>
            <w:tcW w:w="1739" w:type="dxa"/>
            <w:vAlign w:val="center"/>
          </w:tcPr>
          <w:p w14:paraId="6BCF2010" w14:textId="46EC1229" w:rsidR="00907D84" w:rsidRPr="00907D84" w:rsidRDefault="00907D84" w:rsidP="00907D84">
            <w:pPr>
              <w:spacing w:after="0" w:line="240" w:lineRule="auto"/>
              <w:jc w:val="center"/>
            </w:pPr>
            <w:proofErr w:type="spellStart"/>
            <w:r w:rsidRPr="00907D84">
              <w:t>Tounouga</w:t>
            </w:r>
            <w:proofErr w:type="spellEnd"/>
          </w:p>
        </w:tc>
        <w:tc>
          <w:tcPr>
            <w:tcW w:w="1993" w:type="dxa"/>
            <w:vAlign w:val="center"/>
          </w:tcPr>
          <w:p w14:paraId="040DFE3A" w14:textId="77777777" w:rsidR="00907D84" w:rsidRPr="00907D84" w:rsidRDefault="00907D84" w:rsidP="00907D84">
            <w:pPr>
              <w:spacing w:after="0" w:line="240" w:lineRule="auto"/>
              <w:jc w:val="center"/>
            </w:pPr>
            <w:r w:rsidRPr="00907D84">
              <w:t>Gaya</w:t>
            </w:r>
          </w:p>
        </w:tc>
      </w:tr>
      <w:tr w:rsidR="00907D84" w:rsidRPr="00907D84" w14:paraId="25A867E3" w14:textId="77777777" w:rsidTr="00FF5A0B">
        <w:trPr>
          <w:trHeight w:val="20"/>
        </w:trPr>
        <w:tc>
          <w:tcPr>
            <w:tcW w:w="846" w:type="dxa"/>
            <w:vMerge/>
            <w:vAlign w:val="center"/>
          </w:tcPr>
          <w:p w14:paraId="23AC1542" w14:textId="77777777" w:rsidR="00907D84" w:rsidRPr="00907D84" w:rsidRDefault="00907D84" w:rsidP="00907D84">
            <w:pPr>
              <w:spacing w:after="0" w:line="240" w:lineRule="auto"/>
              <w:jc w:val="center"/>
            </w:pPr>
          </w:p>
        </w:tc>
        <w:tc>
          <w:tcPr>
            <w:tcW w:w="3139" w:type="dxa"/>
            <w:vMerge/>
            <w:vAlign w:val="center"/>
          </w:tcPr>
          <w:p w14:paraId="1BB84E7C" w14:textId="77777777" w:rsidR="00907D84" w:rsidRPr="00907D84" w:rsidRDefault="00907D84" w:rsidP="00907D84">
            <w:pPr>
              <w:spacing w:after="0" w:line="240" w:lineRule="auto"/>
              <w:jc w:val="center"/>
            </w:pPr>
          </w:p>
        </w:tc>
        <w:tc>
          <w:tcPr>
            <w:tcW w:w="2247" w:type="dxa"/>
            <w:vAlign w:val="center"/>
          </w:tcPr>
          <w:p w14:paraId="08A7A5CB" w14:textId="77777777" w:rsidR="00907D84" w:rsidRPr="00907D84" w:rsidRDefault="00907D84" w:rsidP="00907D84">
            <w:pPr>
              <w:spacing w:after="0" w:line="240" w:lineRule="auto"/>
              <w:jc w:val="center"/>
            </w:pPr>
            <w:proofErr w:type="spellStart"/>
            <w:r w:rsidRPr="00907D84">
              <w:t>Tounga</w:t>
            </w:r>
            <w:proofErr w:type="spellEnd"/>
            <w:r w:rsidRPr="00907D84">
              <w:t xml:space="preserve"> -</w:t>
            </w:r>
            <w:proofErr w:type="spellStart"/>
            <w:r w:rsidRPr="00907D84">
              <w:t>Goumbi</w:t>
            </w:r>
            <w:proofErr w:type="spellEnd"/>
          </w:p>
        </w:tc>
        <w:tc>
          <w:tcPr>
            <w:tcW w:w="1739" w:type="dxa"/>
            <w:vAlign w:val="center"/>
          </w:tcPr>
          <w:p w14:paraId="22901FCF" w14:textId="77777777" w:rsidR="00907D84" w:rsidRPr="00907D84" w:rsidRDefault="00907D84" w:rsidP="00907D84">
            <w:pPr>
              <w:spacing w:after="0" w:line="240" w:lineRule="auto"/>
              <w:jc w:val="center"/>
            </w:pPr>
            <w:r w:rsidRPr="00907D84">
              <w:t>Tanda</w:t>
            </w:r>
          </w:p>
        </w:tc>
        <w:tc>
          <w:tcPr>
            <w:tcW w:w="1993" w:type="dxa"/>
            <w:vAlign w:val="center"/>
          </w:tcPr>
          <w:p w14:paraId="0E21117C" w14:textId="77777777" w:rsidR="00907D84" w:rsidRPr="00907D84" w:rsidRDefault="00907D84" w:rsidP="00907D84">
            <w:pPr>
              <w:spacing w:after="0" w:line="240" w:lineRule="auto"/>
              <w:jc w:val="center"/>
            </w:pPr>
            <w:r w:rsidRPr="00907D84">
              <w:t>Gaya</w:t>
            </w:r>
          </w:p>
        </w:tc>
      </w:tr>
      <w:tr w:rsidR="00907D84" w:rsidRPr="00907D84" w14:paraId="0EA3A62B" w14:textId="77777777" w:rsidTr="00FF5A0B">
        <w:trPr>
          <w:trHeight w:val="20"/>
        </w:trPr>
        <w:tc>
          <w:tcPr>
            <w:tcW w:w="846" w:type="dxa"/>
            <w:vMerge w:val="restart"/>
            <w:vAlign w:val="center"/>
          </w:tcPr>
          <w:p w14:paraId="48A63EE3" w14:textId="77777777" w:rsidR="00907D84" w:rsidRPr="00907D84" w:rsidRDefault="00907D84" w:rsidP="00907D84">
            <w:pPr>
              <w:spacing w:after="0" w:line="240" w:lineRule="auto"/>
              <w:jc w:val="center"/>
            </w:pPr>
            <w:r w:rsidRPr="00907D84">
              <w:t>5</w:t>
            </w:r>
          </w:p>
        </w:tc>
        <w:tc>
          <w:tcPr>
            <w:tcW w:w="3139" w:type="dxa"/>
            <w:vMerge w:val="restart"/>
            <w:vAlign w:val="center"/>
          </w:tcPr>
          <w:p w14:paraId="2CC778FC" w14:textId="77777777" w:rsidR="00907D84" w:rsidRPr="00907D84" w:rsidRDefault="00907D84" w:rsidP="00907D84">
            <w:pPr>
              <w:spacing w:after="0" w:line="240" w:lineRule="auto"/>
              <w:jc w:val="center"/>
            </w:pPr>
            <w:r w:rsidRPr="00907D84">
              <w:t>Aménagement de quatre (4) sites dans la région de Zinder</w:t>
            </w:r>
          </w:p>
        </w:tc>
        <w:tc>
          <w:tcPr>
            <w:tcW w:w="2247" w:type="dxa"/>
            <w:vAlign w:val="center"/>
          </w:tcPr>
          <w:p w14:paraId="7B79324F" w14:textId="77777777" w:rsidR="00907D84" w:rsidRPr="00907D84" w:rsidRDefault="00907D84" w:rsidP="00907D84">
            <w:pPr>
              <w:spacing w:after="0" w:line="240" w:lineRule="auto"/>
              <w:jc w:val="center"/>
            </w:pPr>
            <w:r w:rsidRPr="00907D84">
              <w:t>Bandé</w:t>
            </w:r>
          </w:p>
        </w:tc>
        <w:tc>
          <w:tcPr>
            <w:tcW w:w="1739" w:type="dxa"/>
            <w:vAlign w:val="center"/>
          </w:tcPr>
          <w:p w14:paraId="738C0DF0" w14:textId="77777777" w:rsidR="00907D84" w:rsidRPr="00907D84" w:rsidRDefault="00907D84" w:rsidP="00907D84">
            <w:pPr>
              <w:spacing w:after="0" w:line="240" w:lineRule="auto"/>
              <w:jc w:val="center"/>
            </w:pPr>
            <w:r w:rsidRPr="00907D84">
              <w:t>Bandé</w:t>
            </w:r>
          </w:p>
        </w:tc>
        <w:tc>
          <w:tcPr>
            <w:tcW w:w="1993" w:type="dxa"/>
            <w:vAlign w:val="center"/>
          </w:tcPr>
          <w:p w14:paraId="5EFF9929" w14:textId="77777777" w:rsidR="00907D84" w:rsidRPr="00907D84" w:rsidRDefault="00907D84" w:rsidP="00907D84">
            <w:pPr>
              <w:spacing w:after="0" w:line="240" w:lineRule="auto"/>
              <w:jc w:val="center"/>
            </w:pPr>
            <w:proofErr w:type="spellStart"/>
            <w:r w:rsidRPr="00907D84">
              <w:t>Magaria</w:t>
            </w:r>
            <w:proofErr w:type="spellEnd"/>
          </w:p>
        </w:tc>
      </w:tr>
      <w:tr w:rsidR="00907D84" w:rsidRPr="00907D84" w14:paraId="34FEAF62" w14:textId="77777777" w:rsidTr="00FF5A0B">
        <w:trPr>
          <w:trHeight w:val="20"/>
        </w:trPr>
        <w:tc>
          <w:tcPr>
            <w:tcW w:w="846" w:type="dxa"/>
            <w:vMerge/>
            <w:vAlign w:val="center"/>
          </w:tcPr>
          <w:p w14:paraId="372A8528" w14:textId="77777777" w:rsidR="00907D84" w:rsidRPr="00907D84" w:rsidRDefault="00907D84" w:rsidP="00907D84">
            <w:pPr>
              <w:spacing w:after="0" w:line="240" w:lineRule="auto"/>
              <w:jc w:val="center"/>
            </w:pPr>
          </w:p>
        </w:tc>
        <w:tc>
          <w:tcPr>
            <w:tcW w:w="3139" w:type="dxa"/>
            <w:vMerge/>
            <w:vAlign w:val="center"/>
          </w:tcPr>
          <w:p w14:paraId="75431895" w14:textId="77777777" w:rsidR="00907D84" w:rsidRPr="00907D84" w:rsidRDefault="00907D84" w:rsidP="00907D84">
            <w:pPr>
              <w:spacing w:after="0" w:line="240" w:lineRule="auto"/>
              <w:jc w:val="center"/>
            </w:pPr>
          </w:p>
        </w:tc>
        <w:tc>
          <w:tcPr>
            <w:tcW w:w="2247" w:type="dxa"/>
            <w:vAlign w:val="center"/>
          </w:tcPr>
          <w:p w14:paraId="2A131027" w14:textId="77777777" w:rsidR="00907D84" w:rsidRPr="00907D84" w:rsidRDefault="00907D84" w:rsidP="00907D84">
            <w:pPr>
              <w:spacing w:after="0" w:line="240" w:lineRule="auto"/>
              <w:jc w:val="center"/>
            </w:pPr>
            <w:proofErr w:type="spellStart"/>
            <w:r w:rsidRPr="00907D84">
              <w:t>Kwaya</w:t>
            </w:r>
            <w:proofErr w:type="spellEnd"/>
          </w:p>
        </w:tc>
        <w:tc>
          <w:tcPr>
            <w:tcW w:w="1739" w:type="dxa"/>
            <w:vAlign w:val="center"/>
          </w:tcPr>
          <w:p w14:paraId="385F841B" w14:textId="77777777" w:rsidR="00907D84" w:rsidRPr="00907D84" w:rsidRDefault="00907D84" w:rsidP="00907D84">
            <w:pPr>
              <w:spacing w:after="0" w:line="240" w:lineRule="auto"/>
              <w:jc w:val="center"/>
            </w:pPr>
            <w:proofErr w:type="spellStart"/>
            <w:r w:rsidRPr="00907D84">
              <w:t>Kwaya</w:t>
            </w:r>
            <w:proofErr w:type="spellEnd"/>
          </w:p>
        </w:tc>
        <w:tc>
          <w:tcPr>
            <w:tcW w:w="1993" w:type="dxa"/>
            <w:vAlign w:val="center"/>
          </w:tcPr>
          <w:p w14:paraId="435BD4C7" w14:textId="77777777" w:rsidR="00907D84" w:rsidRPr="00907D84" w:rsidRDefault="00907D84" w:rsidP="00907D84">
            <w:pPr>
              <w:spacing w:after="0" w:line="240" w:lineRule="auto"/>
              <w:jc w:val="center"/>
            </w:pPr>
            <w:proofErr w:type="spellStart"/>
            <w:r w:rsidRPr="00907D84">
              <w:t>Magaria</w:t>
            </w:r>
            <w:proofErr w:type="spellEnd"/>
          </w:p>
        </w:tc>
      </w:tr>
      <w:tr w:rsidR="00907D84" w:rsidRPr="00907D84" w14:paraId="12AB39E5" w14:textId="77777777" w:rsidTr="00FF5A0B">
        <w:trPr>
          <w:trHeight w:val="20"/>
        </w:trPr>
        <w:tc>
          <w:tcPr>
            <w:tcW w:w="846" w:type="dxa"/>
            <w:vMerge/>
            <w:vAlign w:val="center"/>
          </w:tcPr>
          <w:p w14:paraId="299B1B51" w14:textId="77777777" w:rsidR="00907D84" w:rsidRPr="00907D84" w:rsidRDefault="00907D84" w:rsidP="00907D84">
            <w:pPr>
              <w:spacing w:after="0" w:line="240" w:lineRule="auto"/>
              <w:jc w:val="center"/>
            </w:pPr>
          </w:p>
        </w:tc>
        <w:tc>
          <w:tcPr>
            <w:tcW w:w="3139" w:type="dxa"/>
            <w:vMerge/>
            <w:vAlign w:val="center"/>
          </w:tcPr>
          <w:p w14:paraId="3E73CEAA" w14:textId="77777777" w:rsidR="00907D84" w:rsidRPr="00907D84" w:rsidRDefault="00907D84" w:rsidP="00907D84">
            <w:pPr>
              <w:spacing w:after="0" w:line="240" w:lineRule="auto"/>
              <w:jc w:val="center"/>
            </w:pPr>
          </w:p>
        </w:tc>
        <w:tc>
          <w:tcPr>
            <w:tcW w:w="2247" w:type="dxa"/>
            <w:vAlign w:val="center"/>
          </w:tcPr>
          <w:p w14:paraId="7BCC1A3C" w14:textId="34441B92" w:rsidR="00907D84" w:rsidRPr="00907D84" w:rsidRDefault="00907D84" w:rsidP="00907D84">
            <w:pPr>
              <w:spacing w:after="0" w:line="240" w:lineRule="auto"/>
              <w:jc w:val="center"/>
            </w:pPr>
            <w:proofErr w:type="spellStart"/>
            <w:r w:rsidRPr="00907D84">
              <w:t>Kassama</w:t>
            </w:r>
            <w:proofErr w:type="spellEnd"/>
          </w:p>
        </w:tc>
        <w:tc>
          <w:tcPr>
            <w:tcW w:w="1739" w:type="dxa"/>
            <w:vAlign w:val="center"/>
          </w:tcPr>
          <w:p w14:paraId="60175EC4" w14:textId="77777777" w:rsidR="00907D84" w:rsidRPr="00907D84" w:rsidRDefault="00907D84" w:rsidP="00907D84">
            <w:pPr>
              <w:tabs>
                <w:tab w:val="left" w:pos="426"/>
              </w:tabs>
              <w:spacing w:after="0" w:line="240" w:lineRule="auto"/>
              <w:jc w:val="center"/>
            </w:pPr>
            <w:proofErr w:type="spellStart"/>
            <w:r w:rsidRPr="00907D84">
              <w:t>Albarkaram</w:t>
            </w:r>
            <w:proofErr w:type="spellEnd"/>
          </w:p>
        </w:tc>
        <w:tc>
          <w:tcPr>
            <w:tcW w:w="1993" w:type="dxa"/>
            <w:vAlign w:val="center"/>
          </w:tcPr>
          <w:p w14:paraId="7B9B5F7D" w14:textId="77777777" w:rsidR="00907D84" w:rsidRPr="00907D84" w:rsidRDefault="00907D84" w:rsidP="00907D84">
            <w:pPr>
              <w:spacing w:after="0" w:line="240" w:lineRule="auto"/>
              <w:jc w:val="center"/>
            </w:pPr>
            <w:r w:rsidRPr="00907D84">
              <w:t>DTK</w:t>
            </w:r>
          </w:p>
        </w:tc>
      </w:tr>
      <w:tr w:rsidR="00907D84" w:rsidRPr="00907D84" w14:paraId="7AE16BEB" w14:textId="77777777" w:rsidTr="00FF5A0B">
        <w:trPr>
          <w:trHeight w:val="20"/>
        </w:trPr>
        <w:tc>
          <w:tcPr>
            <w:tcW w:w="846" w:type="dxa"/>
            <w:vMerge/>
            <w:vAlign w:val="center"/>
          </w:tcPr>
          <w:p w14:paraId="4DD8C6DB" w14:textId="77777777" w:rsidR="00907D84" w:rsidRPr="00907D84" w:rsidRDefault="00907D84" w:rsidP="00907D84">
            <w:pPr>
              <w:spacing w:after="0" w:line="240" w:lineRule="auto"/>
              <w:jc w:val="center"/>
            </w:pPr>
          </w:p>
        </w:tc>
        <w:tc>
          <w:tcPr>
            <w:tcW w:w="3139" w:type="dxa"/>
            <w:vMerge/>
            <w:vAlign w:val="center"/>
          </w:tcPr>
          <w:p w14:paraId="10519009" w14:textId="77777777" w:rsidR="00907D84" w:rsidRPr="00907D84" w:rsidRDefault="00907D84" w:rsidP="00907D84">
            <w:pPr>
              <w:spacing w:after="0" w:line="240" w:lineRule="auto"/>
              <w:jc w:val="center"/>
            </w:pPr>
          </w:p>
        </w:tc>
        <w:tc>
          <w:tcPr>
            <w:tcW w:w="2247" w:type="dxa"/>
            <w:vAlign w:val="center"/>
          </w:tcPr>
          <w:p w14:paraId="240F5FE5" w14:textId="77777777" w:rsidR="00907D84" w:rsidRPr="00907D84" w:rsidRDefault="00907D84" w:rsidP="00907D84">
            <w:pPr>
              <w:spacing w:after="0" w:line="240" w:lineRule="auto"/>
              <w:jc w:val="center"/>
            </w:pPr>
            <w:proofErr w:type="spellStart"/>
            <w:r w:rsidRPr="00907D84">
              <w:t>Garigajo</w:t>
            </w:r>
            <w:proofErr w:type="spellEnd"/>
          </w:p>
        </w:tc>
        <w:tc>
          <w:tcPr>
            <w:tcW w:w="1739" w:type="dxa"/>
            <w:vAlign w:val="center"/>
          </w:tcPr>
          <w:p w14:paraId="7CDE97A0" w14:textId="77777777" w:rsidR="00907D84" w:rsidRPr="00907D84" w:rsidRDefault="00907D84" w:rsidP="00907D84">
            <w:pPr>
              <w:spacing w:after="0" w:line="240" w:lineRule="auto"/>
              <w:jc w:val="center"/>
            </w:pPr>
            <w:proofErr w:type="spellStart"/>
            <w:r w:rsidRPr="00907D84">
              <w:t>Gouchi</w:t>
            </w:r>
            <w:proofErr w:type="spellEnd"/>
          </w:p>
        </w:tc>
        <w:tc>
          <w:tcPr>
            <w:tcW w:w="1993" w:type="dxa"/>
            <w:vAlign w:val="center"/>
          </w:tcPr>
          <w:p w14:paraId="026BC140" w14:textId="77777777" w:rsidR="00907D84" w:rsidRPr="00907D84" w:rsidRDefault="00907D84" w:rsidP="00907D84">
            <w:pPr>
              <w:spacing w:after="0" w:line="240" w:lineRule="auto"/>
              <w:jc w:val="center"/>
            </w:pPr>
            <w:proofErr w:type="spellStart"/>
            <w:r w:rsidRPr="00907D84">
              <w:t>Dungass</w:t>
            </w:r>
            <w:proofErr w:type="spellEnd"/>
          </w:p>
        </w:tc>
      </w:tr>
      <w:tr w:rsidR="00907D84" w:rsidRPr="00907D84" w14:paraId="2AE6688B" w14:textId="77777777" w:rsidTr="00FF5A0B">
        <w:trPr>
          <w:trHeight w:val="20"/>
        </w:trPr>
        <w:tc>
          <w:tcPr>
            <w:tcW w:w="846" w:type="dxa"/>
            <w:vMerge w:val="restart"/>
            <w:vAlign w:val="center"/>
          </w:tcPr>
          <w:p w14:paraId="34F61501" w14:textId="77777777" w:rsidR="00907D84" w:rsidRPr="00907D84" w:rsidRDefault="00907D84" w:rsidP="00907D84">
            <w:pPr>
              <w:spacing w:after="0" w:line="240" w:lineRule="auto"/>
              <w:jc w:val="center"/>
            </w:pPr>
            <w:r w:rsidRPr="00907D84">
              <w:t>6</w:t>
            </w:r>
          </w:p>
        </w:tc>
        <w:tc>
          <w:tcPr>
            <w:tcW w:w="3139" w:type="dxa"/>
            <w:vMerge w:val="restart"/>
            <w:vAlign w:val="center"/>
          </w:tcPr>
          <w:p w14:paraId="5F9090DE" w14:textId="77777777" w:rsidR="00907D84" w:rsidRPr="00907D84" w:rsidRDefault="00907D84" w:rsidP="00907D84">
            <w:pPr>
              <w:spacing w:after="0" w:line="240" w:lineRule="auto"/>
              <w:jc w:val="center"/>
            </w:pPr>
            <w:r w:rsidRPr="00907D84">
              <w:t>Aménagement de trois (3) sites dans la région de Zinder</w:t>
            </w:r>
          </w:p>
        </w:tc>
        <w:tc>
          <w:tcPr>
            <w:tcW w:w="2247" w:type="dxa"/>
            <w:vAlign w:val="center"/>
          </w:tcPr>
          <w:p w14:paraId="073C568B" w14:textId="33E26DB5" w:rsidR="00907D84" w:rsidRPr="00907D84" w:rsidRDefault="00907D84" w:rsidP="00907D84">
            <w:pPr>
              <w:tabs>
                <w:tab w:val="left" w:pos="426"/>
              </w:tabs>
              <w:spacing w:after="0" w:line="240" w:lineRule="auto"/>
              <w:jc w:val="center"/>
            </w:pPr>
            <w:proofErr w:type="spellStart"/>
            <w:r w:rsidRPr="00907D84">
              <w:t>Hotoro</w:t>
            </w:r>
            <w:proofErr w:type="spellEnd"/>
          </w:p>
        </w:tc>
        <w:tc>
          <w:tcPr>
            <w:tcW w:w="1739" w:type="dxa"/>
            <w:vAlign w:val="center"/>
          </w:tcPr>
          <w:p w14:paraId="30D0B56A" w14:textId="77777777" w:rsidR="00907D84" w:rsidRPr="00907D84" w:rsidRDefault="00907D84" w:rsidP="00907D84">
            <w:pPr>
              <w:spacing w:after="0" w:line="240" w:lineRule="auto"/>
              <w:jc w:val="center"/>
            </w:pPr>
            <w:r w:rsidRPr="00907D84">
              <w:t>Mirriah</w:t>
            </w:r>
          </w:p>
        </w:tc>
        <w:tc>
          <w:tcPr>
            <w:tcW w:w="1993" w:type="dxa"/>
            <w:vAlign w:val="center"/>
          </w:tcPr>
          <w:p w14:paraId="51CC6FB6" w14:textId="77777777" w:rsidR="00907D84" w:rsidRPr="00907D84" w:rsidRDefault="00907D84" w:rsidP="00907D84">
            <w:pPr>
              <w:spacing w:after="0" w:line="240" w:lineRule="auto"/>
              <w:jc w:val="center"/>
            </w:pPr>
            <w:r w:rsidRPr="00907D84">
              <w:t>Mirriah</w:t>
            </w:r>
          </w:p>
        </w:tc>
      </w:tr>
      <w:tr w:rsidR="00907D84" w:rsidRPr="00907D84" w14:paraId="3ABFFCB4" w14:textId="77777777" w:rsidTr="00FF5A0B">
        <w:trPr>
          <w:trHeight w:val="20"/>
        </w:trPr>
        <w:tc>
          <w:tcPr>
            <w:tcW w:w="846" w:type="dxa"/>
            <w:vMerge/>
            <w:vAlign w:val="center"/>
          </w:tcPr>
          <w:p w14:paraId="644564A6" w14:textId="77777777" w:rsidR="00907D84" w:rsidRPr="00907D84" w:rsidRDefault="00907D84" w:rsidP="00907D84">
            <w:pPr>
              <w:spacing w:after="0" w:line="240" w:lineRule="auto"/>
              <w:jc w:val="center"/>
            </w:pPr>
          </w:p>
        </w:tc>
        <w:tc>
          <w:tcPr>
            <w:tcW w:w="3139" w:type="dxa"/>
            <w:vMerge/>
            <w:vAlign w:val="center"/>
          </w:tcPr>
          <w:p w14:paraId="5533316F" w14:textId="77777777" w:rsidR="00907D84" w:rsidRPr="00907D84" w:rsidRDefault="00907D84" w:rsidP="00907D84">
            <w:pPr>
              <w:spacing w:after="0" w:line="240" w:lineRule="auto"/>
              <w:jc w:val="center"/>
            </w:pPr>
          </w:p>
        </w:tc>
        <w:tc>
          <w:tcPr>
            <w:tcW w:w="2247" w:type="dxa"/>
            <w:vAlign w:val="center"/>
          </w:tcPr>
          <w:p w14:paraId="27FC5634" w14:textId="77777777" w:rsidR="00907D84" w:rsidRPr="00907D84" w:rsidRDefault="00907D84" w:rsidP="00907D84">
            <w:pPr>
              <w:spacing w:after="0" w:line="240" w:lineRule="auto"/>
              <w:jc w:val="center"/>
            </w:pPr>
            <w:proofErr w:type="spellStart"/>
            <w:r w:rsidRPr="00907D84">
              <w:t>Toumbala</w:t>
            </w:r>
            <w:proofErr w:type="spellEnd"/>
          </w:p>
        </w:tc>
        <w:tc>
          <w:tcPr>
            <w:tcW w:w="1739" w:type="dxa"/>
            <w:vAlign w:val="center"/>
          </w:tcPr>
          <w:p w14:paraId="1683CB6E" w14:textId="77777777" w:rsidR="00907D84" w:rsidRPr="00907D84" w:rsidRDefault="00907D84" w:rsidP="00907D84">
            <w:pPr>
              <w:spacing w:after="0" w:line="240" w:lineRule="auto"/>
              <w:jc w:val="center"/>
            </w:pPr>
            <w:proofErr w:type="spellStart"/>
            <w:r w:rsidRPr="00907D84">
              <w:t>Gafati</w:t>
            </w:r>
            <w:proofErr w:type="spellEnd"/>
          </w:p>
        </w:tc>
        <w:tc>
          <w:tcPr>
            <w:tcW w:w="1993" w:type="dxa"/>
            <w:vAlign w:val="center"/>
          </w:tcPr>
          <w:p w14:paraId="591FF9D3" w14:textId="77777777" w:rsidR="00907D84" w:rsidRPr="00907D84" w:rsidRDefault="00907D84" w:rsidP="00907D84">
            <w:pPr>
              <w:spacing w:after="0" w:line="240" w:lineRule="auto"/>
              <w:jc w:val="center"/>
            </w:pPr>
            <w:r w:rsidRPr="00907D84">
              <w:t>Mirriah</w:t>
            </w:r>
          </w:p>
        </w:tc>
      </w:tr>
      <w:tr w:rsidR="00907D84" w:rsidRPr="00907D84" w14:paraId="3D71F8E8" w14:textId="77777777" w:rsidTr="00FF5A0B">
        <w:trPr>
          <w:trHeight w:val="20"/>
        </w:trPr>
        <w:tc>
          <w:tcPr>
            <w:tcW w:w="846" w:type="dxa"/>
            <w:vMerge/>
            <w:vAlign w:val="center"/>
          </w:tcPr>
          <w:p w14:paraId="724E5230" w14:textId="77777777" w:rsidR="00907D84" w:rsidRPr="00907D84" w:rsidRDefault="00907D84" w:rsidP="00907D84">
            <w:pPr>
              <w:spacing w:after="0" w:line="240" w:lineRule="auto"/>
              <w:jc w:val="center"/>
            </w:pPr>
          </w:p>
        </w:tc>
        <w:tc>
          <w:tcPr>
            <w:tcW w:w="3139" w:type="dxa"/>
            <w:vMerge/>
            <w:vAlign w:val="center"/>
          </w:tcPr>
          <w:p w14:paraId="41B4029C" w14:textId="77777777" w:rsidR="00907D84" w:rsidRPr="00907D84" w:rsidRDefault="00907D84" w:rsidP="00907D84">
            <w:pPr>
              <w:spacing w:after="0" w:line="240" w:lineRule="auto"/>
              <w:jc w:val="center"/>
            </w:pPr>
          </w:p>
        </w:tc>
        <w:tc>
          <w:tcPr>
            <w:tcW w:w="2247" w:type="dxa"/>
            <w:vAlign w:val="center"/>
          </w:tcPr>
          <w:p w14:paraId="31D4E839" w14:textId="77777777" w:rsidR="00907D84" w:rsidRPr="00907D84" w:rsidRDefault="00907D84" w:rsidP="00907D84">
            <w:pPr>
              <w:spacing w:after="0" w:line="240" w:lineRule="auto"/>
              <w:jc w:val="center"/>
            </w:pPr>
            <w:r w:rsidRPr="00907D84">
              <w:t>Chiya ta Habou</w:t>
            </w:r>
          </w:p>
        </w:tc>
        <w:tc>
          <w:tcPr>
            <w:tcW w:w="1739" w:type="dxa"/>
            <w:vAlign w:val="center"/>
          </w:tcPr>
          <w:p w14:paraId="4FDDAC78" w14:textId="77777777" w:rsidR="00907D84" w:rsidRPr="00907D84" w:rsidRDefault="00907D84" w:rsidP="00907D84">
            <w:pPr>
              <w:spacing w:after="0" w:line="240" w:lineRule="auto"/>
              <w:jc w:val="center"/>
            </w:pPr>
            <w:proofErr w:type="spellStart"/>
            <w:r w:rsidRPr="00907D84">
              <w:t>Gafati</w:t>
            </w:r>
            <w:proofErr w:type="spellEnd"/>
          </w:p>
        </w:tc>
        <w:tc>
          <w:tcPr>
            <w:tcW w:w="1993" w:type="dxa"/>
            <w:vAlign w:val="center"/>
          </w:tcPr>
          <w:p w14:paraId="062E68AA" w14:textId="77777777" w:rsidR="00907D84" w:rsidRPr="00907D84" w:rsidRDefault="00907D84" w:rsidP="00907D84">
            <w:pPr>
              <w:spacing w:after="0" w:line="240" w:lineRule="auto"/>
              <w:jc w:val="center"/>
            </w:pPr>
            <w:r w:rsidRPr="00907D84">
              <w:t>Mirriah</w:t>
            </w:r>
          </w:p>
        </w:tc>
      </w:tr>
      <w:tr w:rsidR="00907D84" w:rsidRPr="00907D84" w14:paraId="789FEC90" w14:textId="77777777" w:rsidTr="00FF5A0B">
        <w:trPr>
          <w:trHeight w:val="20"/>
        </w:trPr>
        <w:tc>
          <w:tcPr>
            <w:tcW w:w="846" w:type="dxa"/>
            <w:vMerge w:val="restart"/>
            <w:vAlign w:val="center"/>
          </w:tcPr>
          <w:p w14:paraId="5866AA21" w14:textId="77777777" w:rsidR="00907D84" w:rsidRPr="00907D84" w:rsidRDefault="00907D84" w:rsidP="00907D84">
            <w:pPr>
              <w:spacing w:after="0" w:line="240" w:lineRule="auto"/>
              <w:jc w:val="center"/>
            </w:pPr>
            <w:r w:rsidRPr="00907D84">
              <w:t>7</w:t>
            </w:r>
          </w:p>
        </w:tc>
        <w:tc>
          <w:tcPr>
            <w:tcW w:w="3139" w:type="dxa"/>
            <w:vMerge w:val="restart"/>
            <w:vAlign w:val="center"/>
          </w:tcPr>
          <w:p w14:paraId="7599A99F" w14:textId="77777777" w:rsidR="00907D84" w:rsidRPr="00907D84" w:rsidRDefault="00907D84" w:rsidP="00907D84">
            <w:pPr>
              <w:spacing w:after="0" w:line="240" w:lineRule="auto"/>
              <w:jc w:val="center"/>
            </w:pPr>
            <w:r w:rsidRPr="00907D84">
              <w:t>Aménagement de deux (2) sites dans la région de Tahoua</w:t>
            </w:r>
          </w:p>
        </w:tc>
        <w:tc>
          <w:tcPr>
            <w:tcW w:w="2247" w:type="dxa"/>
            <w:vAlign w:val="center"/>
          </w:tcPr>
          <w:p w14:paraId="230D3FB6" w14:textId="77777777" w:rsidR="00907D84" w:rsidRPr="00907D84" w:rsidRDefault="00907D84" w:rsidP="00907D84">
            <w:pPr>
              <w:spacing w:after="0" w:line="240" w:lineRule="auto"/>
              <w:jc w:val="center"/>
            </w:pPr>
            <w:proofErr w:type="spellStart"/>
            <w:r w:rsidRPr="00907D84">
              <w:t>Edouk</w:t>
            </w:r>
            <w:proofErr w:type="spellEnd"/>
          </w:p>
        </w:tc>
        <w:tc>
          <w:tcPr>
            <w:tcW w:w="1739" w:type="dxa"/>
            <w:vAlign w:val="center"/>
          </w:tcPr>
          <w:p w14:paraId="4E51E1D6" w14:textId="77777777" w:rsidR="00907D84" w:rsidRPr="00907D84" w:rsidRDefault="00907D84" w:rsidP="00907D84">
            <w:pPr>
              <w:spacing w:after="0" w:line="240" w:lineRule="auto"/>
              <w:jc w:val="center"/>
            </w:pPr>
            <w:r w:rsidRPr="00907D84">
              <w:t>Kaou</w:t>
            </w:r>
          </w:p>
        </w:tc>
        <w:tc>
          <w:tcPr>
            <w:tcW w:w="1993" w:type="dxa"/>
            <w:vAlign w:val="center"/>
          </w:tcPr>
          <w:p w14:paraId="3651BBD7" w14:textId="77777777" w:rsidR="00907D84" w:rsidRPr="00907D84" w:rsidRDefault="00907D84" w:rsidP="00907D84">
            <w:pPr>
              <w:spacing w:after="0" w:line="240" w:lineRule="auto"/>
              <w:jc w:val="center"/>
            </w:pPr>
            <w:proofErr w:type="spellStart"/>
            <w:r w:rsidRPr="00907D84">
              <w:t>Tchinta</w:t>
            </w:r>
            <w:proofErr w:type="spellEnd"/>
          </w:p>
        </w:tc>
      </w:tr>
      <w:tr w:rsidR="00907D84" w:rsidRPr="00907D84" w14:paraId="6DB41862" w14:textId="77777777" w:rsidTr="00FF5A0B">
        <w:trPr>
          <w:trHeight w:val="20"/>
        </w:trPr>
        <w:tc>
          <w:tcPr>
            <w:tcW w:w="846" w:type="dxa"/>
            <w:vMerge/>
            <w:vAlign w:val="center"/>
          </w:tcPr>
          <w:p w14:paraId="2A4338C4" w14:textId="77777777" w:rsidR="00907D84" w:rsidRPr="00907D84" w:rsidRDefault="00907D84" w:rsidP="00907D84">
            <w:pPr>
              <w:spacing w:after="0" w:line="240" w:lineRule="auto"/>
              <w:jc w:val="center"/>
            </w:pPr>
          </w:p>
        </w:tc>
        <w:tc>
          <w:tcPr>
            <w:tcW w:w="3139" w:type="dxa"/>
            <w:vMerge/>
            <w:vAlign w:val="center"/>
          </w:tcPr>
          <w:p w14:paraId="6FE572C5" w14:textId="77777777" w:rsidR="00907D84" w:rsidRPr="00907D84" w:rsidRDefault="00907D84" w:rsidP="00907D84">
            <w:pPr>
              <w:spacing w:after="0" w:line="240" w:lineRule="auto"/>
              <w:jc w:val="center"/>
            </w:pPr>
          </w:p>
        </w:tc>
        <w:tc>
          <w:tcPr>
            <w:tcW w:w="2247" w:type="dxa"/>
            <w:vAlign w:val="center"/>
          </w:tcPr>
          <w:p w14:paraId="5070D8EA" w14:textId="77777777" w:rsidR="00907D84" w:rsidRPr="00907D84" w:rsidRDefault="00907D84" w:rsidP="00907D84">
            <w:pPr>
              <w:spacing w:after="0" w:line="240" w:lineRule="auto"/>
              <w:jc w:val="center"/>
            </w:pPr>
            <w:proofErr w:type="spellStart"/>
            <w:r w:rsidRPr="00907D84">
              <w:t>Kouzout</w:t>
            </w:r>
            <w:proofErr w:type="spellEnd"/>
          </w:p>
        </w:tc>
        <w:tc>
          <w:tcPr>
            <w:tcW w:w="1739" w:type="dxa"/>
            <w:vAlign w:val="center"/>
          </w:tcPr>
          <w:p w14:paraId="143E71D6" w14:textId="77777777" w:rsidR="00907D84" w:rsidRPr="00907D84" w:rsidRDefault="00907D84" w:rsidP="00907D84">
            <w:pPr>
              <w:spacing w:after="0" w:line="240" w:lineRule="auto"/>
              <w:jc w:val="center"/>
            </w:pPr>
            <w:r w:rsidRPr="00907D84">
              <w:t>Illéla</w:t>
            </w:r>
          </w:p>
        </w:tc>
        <w:tc>
          <w:tcPr>
            <w:tcW w:w="1993" w:type="dxa"/>
            <w:vAlign w:val="center"/>
          </w:tcPr>
          <w:p w14:paraId="3AA1D6A4" w14:textId="77777777" w:rsidR="00907D84" w:rsidRPr="00907D84" w:rsidRDefault="00907D84" w:rsidP="00907D84">
            <w:pPr>
              <w:spacing w:after="0" w:line="240" w:lineRule="auto"/>
              <w:jc w:val="center"/>
            </w:pPr>
            <w:proofErr w:type="spellStart"/>
            <w:r w:rsidRPr="00907D84">
              <w:t>Illél</w:t>
            </w:r>
            <w:proofErr w:type="spellEnd"/>
          </w:p>
        </w:tc>
      </w:tr>
    </w:tbl>
    <w:p w14:paraId="31185A65" w14:textId="77777777" w:rsidR="00A03B54" w:rsidRPr="00820D4E" w:rsidRDefault="00A03B54" w:rsidP="00A03B54">
      <w:pPr>
        <w:shd w:val="clear" w:color="auto" w:fill="FFFFFF"/>
        <w:tabs>
          <w:tab w:val="left" w:pos="426"/>
        </w:tabs>
        <w:spacing w:before="120" w:after="120"/>
        <w:rPr>
          <w:b/>
        </w:rPr>
      </w:pPr>
      <w:r w:rsidRPr="00820D4E">
        <w:rPr>
          <w:b/>
        </w:rPr>
        <w:t xml:space="preserve">Le délai d’exécution est de : quatre (4) mois pour chacun des lots. </w:t>
      </w:r>
    </w:p>
    <w:p w14:paraId="0E5092A9" w14:textId="77777777" w:rsidR="00A03B54" w:rsidRPr="00820D4E" w:rsidRDefault="00A03B54" w:rsidP="00A03B54">
      <w:pPr>
        <w:shd w:val="clear" w:color="auto" w:fill="FFFFFF"/>
        <w:tabs>
          <w:tab w:val="left" w:pos="426"/>
        </w:tabs>
        <w:spacing w:before="120" w:after="120"/>
        <w:rPr>
          <w:b/>
        </w:rPr>
      </w:pPr>
      <w:r w:rsidRPr="00820D4E">
        <w:rPr>
          <w:b/>
          <w:szCs w:val="24"/>
        </w:rPr>
        <w:t xml:space="preserve">Les soumissionnaires peuvent postuler à tous les lots mais ne peuvent être adjudicataire que deux (02) lots. </w:t>
      </w:r>
    </w:p>
    <w:p w14:paraId="44171930" w14:textId="77777777" w:rsidR="00A03B54" w:rsidRPr="00820D4E" w:rsidRDefault="00A03B54" w:rsidP="00A03B54">
      <w:pPr>
        <w:numPr>
          <w:ilvl w:val="0"/>
          <w:numId w:val="2"/>
        </w:numPr>
        <w:tabs>
          <w:tab w:val="clear" w:pos="720"/>
          <w:tab w:val="left" w:pos="426"/>
        </w:tabs>
        <w:spacing w:before="120" w:after="120" w:line="240" w:lineRule="auto"/>
        <w:ind w:left="432" w:hanging="432"/>
        <w:jc w:val="both"/>
      </w:pPr>
      <w:r w:rsidRPr="00820D4E">
        <w:t xml:space="preserve">La procédure sera conduite par Appel d’Offres National (AON) tel que défini dans le Règlement de Passation des Marchés de la Banque mondiale pour les Emprunteurs sollicitant le Financement de Projets d’Investissement (Fournitures, Travaux, Services Autres que des Services de Consultants et Services de Consultant (Juillet 2016) révisé en Septembre 2025 (“Règlement de Passation des Marchés”). </w:t>
      </w:r>
    </w:p>
    <w:p w14:paraId="452E1E54" w14:textId="18CC1161" w:rsidR="00A03B54" w:rsidRPr="00820D4E" w:rsidRDefault="00A03B54" w:rsidP="00A03B54">
      <w:pPr>
        <w:numPr>
          <w:ilvl w:val="0"/>
          <w:numId w:val="2"/>
        </w:numPr>
        <w:tabs>
          <w:tab w:val="clear" w:pos="720"/>
          <w:tab w:val="left" w:pos="426"/>
        </w:tabs>
        <w:spacing w:before="120" w:after="120" w:line="240" w:lineRule="auto"/>
        <w:ind w:left="432" w:hanging="432"/>
        <w:jc w:val="both"/>
        <w:rPr>
          <w:b/>
          <w:bCs/>
        </w:rPr>
      </w:pPr>
      <w:bookmarkStart w:id="3" w:name="_Hlk193977025"/>
      <w:r w:rsidRPr="00820D4E">
        <w:t xml:space="preserve">Les soumissionnaires éligibles et intéressés peuvent obtenir un complément d’informations et consulter gratuitement le Dossier d’Appel d’Offres en français auprès du Projet Régional d'Appui au Pastoralisme au Sahel (PRAPS) phase II, Sis au quartier village de la francophonie, derrière la FENIFOOT en face de la station ENI Niamey Niger, BP : 13017 Niamey, Tél (00227) 20 32 54 56 E-mail : </w:t>
      </w:r>
      <w:hyperlink r:id="rId9" w:history="1">
        <w:r w:rsidRPr="00820D4E">
          <w:rPr>
            <w:rStyle w:val="Lienhypertexte"/>
          </w:rPr>
          <w:t>atteissa@gmail.com</w:t>
        </w:r>
      </w:hyperlink>
      <w:r w:rsidRPr="00820D4E">
        <w:t xml:space="preserve">  cc : </w:t>
      </w:r>
      <w:hyperlink r:id="rId10" w:history="1">
        <w:r w:rsidRPr="00820D4E">
          <w:rPr>
            <w:rStyle w:val="Lienhypertexte"/>
          </w:rPr>
          <w:t>spm@praps2niger.ne</w:t>
        </w:r>
      </w:hyperlink>
      <w:r w:rsidRPr="00820D4E">
        <w:t xml:space="preserve">  </w:t>
      </w:r>
      <w:r w:rsidRPr="00820D4E">
        <w:rPr>
          <w:b/>
          <w:bCs/>
        </w:rPr>
        <w:t>tous les jours ouvrables du lundi au jeudi de 9h00 mn à 17h00, heure locale et le vendredi de 9h00 mn à 12h00 heure locale.</w:t>
      </w:r>
    </w:p>
    <w:p w14:paraId="154E58D5" w14:textId="77777777" w:rsidR="00A03B54" w:rsidRPr="00820D4E" w:rsidRDefault="00A03B54" w:rsidP="00A03B54">
      <w:pPr>
        <w:numPr>
          <w:ilvl w:val="0"/>
          <w:numId w:val="2"/>
        </w:numPr>
        <w:tabs>
          <w:tab w:val="clear" w:pos="720"/>
          <w:tab w:val="left" w:pos="426"/>
        </w:tabs>
        <w:spacing w:before="120" w:after="120" w:line="240" w:lineRule="auto"/>
        <w:ind w:left="432" w:hanging="432"/>
        <w:jc w:val="both"/>
      </w:pPr>
      <w:r w:rsidRPr="00820D4E">
        <w:t>Le Dossier d’Appel d’offres en français peut être acheté par tout Soumissionnaire intéressé en formulant une demande à l’adresse ci-dessous contre un paiement non remboursable de cent mille (100 000) francs CFA. La méthode de paiement sera en espèce.</w:t>
      </w:r>
    </w:p>
    <w:p w14:paraId="79B28E76" w14:textId="7CF8D9FD" w:rsidR="00A03B54" w:rsidRPr="00820D4E" w:rsidRDefault="00A03B54" w:rsidP="00A03B54">
      <w:pPr>
        <w:numPr>
          <w:ilvl w:val="0"/>
          <w:numId w:val="2"/>
        </w:numPr>
        <w:tabs>
          <w:tab w:val="clear" w:pos="720"/>
          <w:tab w:val="left" w:pos="426"/>
        </w:tabs>
        <w:spacing w:before="120" w:after="120" w:line="240" w:lineRule="auto"/>
        <w:ind w:left="432" w:hanging="432"/>
        <w:jc w:val="both"/>
        <w:rPr>
          <w:b/>
          <w:bCs/>
        </w:rPr>
      </w:pPr>
      <w:r w:rsidRPr="00820D4E">
        <w:t xml:space="preserve">Les offres devront être déposées à la Direction des Ressources Financières, du Matériel, des Marchés Publics et des Délégations de Service Public du Ministère de l’Agriculture et de l’Elevage au plus tard le </w:t>
      </w:r>
      <w:r w:rsidR="00CF321C">
        <w:rPr>
          <w:b/>
          <w:bCs/>
        </w:rPr>
        <w:t>26 Février</w:t>
      </w:r>
      <w:r w:rsidR="00CF321C" w:rsidRPr="00820D4E">
        <w:rPr>
          <w:b/>
          <w:bCs/>
        </w:rPr>
        <w:t>.2026</w:t>
      </w:r>
      <w:r w:rsidRPr="00820D4E">
        <w:rPr>
          <w:b/>
          <w:bCs/>
        </w:rPr>
        <w:t xml:space="preserve"> à 10h00mn</w:t>
      </w:r>
      <w:r w:rsidRPr="00820D4E">
        <w:t xml:space="preserve">, heure locale. La soumission des offres par voie électronique « ne sera pas » autorisée. Toute offre arrivée après l’expiration du délai limite de remise des offres sera écartée. Les offres seront ouvertes en présence des représentants des soumissionnaires qui souhaitent y participer dans la salle de réunion du Ministère de l’Agriculture et de l’Elevage </w:t>
      </w:r>
      <w:r w:rsidRPr="00820D4E">
        <w:rPr>
          <w:b/>
          <w:bCs/>
        </w:rPr>
        <w:t xml:space="preserve">le </w:t>
      </w:r>
      <w:r w:rsidR="00CF321C">
        <w:rPr>
          <w:b/>
          <w:bCs/>
        </w:rPr>
        <w:t>26 Février</w:t>
      </w:r>
      <w:r w:rsidRPr="00820D4E">
        <w:rPr>
          <w:b/>
          <w:bCs/>
        </w:rPr>
        <w:t>.2026 à 10h30mn.</w:t>
      </w:r>
    </w:p>
    <w:bookmarkEnd w:id="3"/>
    <w:p w14:paraId="52102FB7" w14:textId="77777777" w:rsidR="00A03B54" w:rsidRPr="00820D4E" w:rsidRDefault="00A03B54" w:rsidP="00A03B54">
      <w:pPr>
        <w:numPr>
          <w:ilvl w:val="0"/>
          <w:numId w:val="2"/>
        </w:numPr>
        <w:tabs>
          <w:tab w:val="clear" w:pos="720"/>
          <w:tab w:val="left" w:pos="426"/>
        </w:tabs>
        <w:spacing w:before="120" w:after="120" w:line="240" w:lineRule="auto"/>
        <w:ind w:left="432" w:hanging="432"/>
        <w:jc w:val="both"/>
      </w:pPr>
      <w:r w:rsidRPr="00820D4E">
        <w:t>Les offres doivent être accompagnées d</w:t>
      </w:r>
      <w:proofErr w:type="gramStart"/>
      <w:r w:rsidRPr="00820D4E">
        <w:t>’</w:t>
      </w:r>
      <w:r w:rsidRPr="00820D4E">
        <w:rPr>
          <w:i/>
          <w:iCs/>
        </w:rPr>
        <w:t>«</w:t>
      </w:r>
      <w:proofErr w:type="gramEnd"/>
      <w:r w:rsidRPr="00820D4E">
        <w:rPr>
          <w:i/>
          <w:iCs/>
        </w:rPr>
        <w:t xml:space="preserve"> une Garantie d’offre » </w:t>
      </w:r>
      <w:r w:rsidRPr="00820D4E">
        <w:t>pour un montant par lot de :</w:t>
      </w:r>
    </w:p>
    <w:p w14:paraId="52035A38" w14:textId="77777777" w:rsidR="00A03B54" w:rsidRPr="00820D4E" w:rsidRDefault="00A03B54" w:rsidP="00A03B54">
      <w:pPr>
        <w:pStyle w:val="Paragraphedeliste"/>
        <w:numPr>
          <w:ilvl w:val="0"/>
          <w:numId w:val="4"/>
        </w:numPr>
        <w:tabs>
          <w:tab w:val="left" w:pos="426"/>
        </w:tabs>
        <w:spacing w:before="120" w:after="120" w:line="276" w:lineRule="auto"/>
        <w:jc w:val="both"/>
        <w:rPr>
          <w:i/>
          <w:iCs/>
        </w:rPr>
      </w:pPr>
      <w:r w:rsidRPr="00820D4E">
        <w:rPr>
          <w:i/>
          <w:iCs/>
        </w:rPr>
        <w:t>Pour le lot 1 : 2.500.000 F CFA ;</w:t>
      </w:r>
    </w:p>
    <w:p w14:paraId="65A8EEE8" w14:textId="77777777" w:rsidR="00A03B54" w:rsidRPr="00820D4E" w:rsidRDefault="00A03B54" w:rsidP="00A03B54">
      <w:pPr>
        <w:pStyle w:val="Paragraphedeliste"/>
        <w:numPr>
          <w:ilvl w:val="0"/>
          <w:numId w:val="4"/>
        </w:numPr>
        <w:tabs>
          <w:tab w:val="left" w:pos="426"/>
        </w:tabs>
        <w:spacing w:before="120" w:after="120" w:line="276" w:lineRule="auto"/>
        <w:jc w:val="both"/>
      </w:pPr>
      <w:r w:rsidRPr="00820D4E">
        <w:rPr>
          <w:i/>
          <w:iCs/>
        </w:rPr>
        <w:t>Pour le lot 2 : 6 500.000 F CFA ;</w:t>
      </w:r>
    </w:p>
    <w:p w14:paraId="1CE22EF2" w14:textId="77777777" w:rsidR="00A03B54" w:rsidRPr="00820D4E" w:rsidRDefault="00A03B54" w:rsidP="00A03B54">
      <w:pPr>
        <w:pStyle w:val="Paragraphedeliste"/>
        <w:numPr>
          <w:ilvl w:val="0"/>
          <w:numId w:val="4"/>
        </w:numPr>
        <w:tabs>
          <w:tab w:val="left" w:pos="426"/>
        </w:tabs>
        <w:spacing w:before="120" w:after="120" w:line="276" w:lineRule="auto"/>
        <w:jc w:val="both"/>
      </w:pPr>
      <w:r w:rsidRPr="00820D4E">
        <w:rPr>
          <w:i/>
          <w:iCs/>
        </w:rPr>
        <w:t>Pour le lot 3 : 300.000 F CFA</w:t>
      </w:r>
      <w:r>
        <w:rPr>
          <w:i/>
          <w:iCs/>
        </w:rPr>
        <w:t> ;</w:t>
      </w:r>
    </w:p>
    <w:p w14:paraId="2C2FCCA3" w14:textId="77777777" w:rsidR="00A03B54" w:rsidRPr="00820D4E" w:rsidRDefault="00A03B54" w:rsidP="00A03B54">
      <w:pPr>
        <w:pStyle w:val="Paragraphedeliste"/>
        <w:numPr>
          <w:ilvl w:val="0"/>
          <w:numId w:val="4"/>
        </w:numPr>
        <w:tabs>
          <w:tab w:val="left" w:pos="426"/>
        </w:tabs>
        <w:spacing w:before="120" w:after="120" w:line="276" w:lineRule="auto"/>
        <w:jc w:val="both"/>
        <w:rPr>
          <w:i/>
          <w:iCs/>
        </w:rPr>
      </w:pPr>
      <w:r w:rsidRPr="00820D4E">
        <w:rPr>
          <w:i/>
          <w:iCs/>
        </w:rPr>
        <w:t>Pour le lot 4 : 3.500.000 F CFA ;</w:t>
      </w:r>
    </w:p>
    <w:p w14:paraId="40CA5112" w14:textId="77777777" w:rsidR="00A03B54" w:rsidRPr="00820D4E" w:rsidRDefault="00A03B54" w:rsidP="00A03B54">
      <w:pPr>
        <w:pStyle w:val="Paragraphedeliste"/>
        <w:numPr>
          <w:ilvl w:val="0"/>
          <w:numId w:val="4"/>
        </w:numPr>
        <w:tabs>
          <w:tab w:val="left" w:pos="426"/>
        </w:tabs>
        <w:spacing w:before="120" w:after="120" w:line="276" w:lineRule="auto"/>
        <w:jc w:val="both"/>
      </w:pPr>
      <w:r w:rsidRPr="00820D4E">
        <w:rPr>
          <w:i/>
          <w:iCs/>
        </w:rPr>
        <w:t>Pour le lot 5 : 2.500.000 F CFA</w:t>
      </w:r>
    </w:p>
    <w:p w14:paraId="2C9500CC" w14:textId="77777777" w:rsidR="00A03B54" w:rsidRPr="00820D4E" w:rsidRDefault="00A03B54" w:rsidP="00A03B54">
      <w:pPr>
        <w:pStyle w:val="Paragraphedeliste"/>
        <w:numPr>
          <w:ilvl w:val="0"/>
          <w:numId w:val="4"/>
        </w:numPr>
        <w:tabs>
          <w:tab w:val="left" w:pos="426"/>
        </w:tabs>
        <w:spacing w:before="120" w:after="120" w:line="276" w:lineRule="auto"/>
        <w:jc w:val="both"/>
        <w:rPr>
          <w:i/>
          <w:iCs/>
        </w:rPr>
      </w:pPr>
      <w:r w:rsidRPr="00820D4E">
        <w:rPr>
          <w:i/>
          <w:iCs/>
        </w:rPr>
        <w:t>Pour le lot 6 : 1.500.000 F CFA ;</w:t>
      </w:r>
    </w:p>
    <w:p w14:paraId="6B4C631B" w14:textId="77777777" w:rsidR="00A03B54" w:rsidRPr="00820D4E" w:rsidRDefault="00A03B54" w:rsidP="00A03B54">
      <w:pPr>
        <w:pStyle w:val="Paragraphedeliste"/>
        <w:numPr>
          <w:ilvl w:val="0"/>
          <w:numId w:val="4"/>
        </w:numPr>
        <w:tabs>
          <w:tab w:val="left" w:pos="426"/>
        </w:tabs>
        <w:spacing w:before="120" w:after="120" w:line="276" w:lineRule="auto"/>
        <w:jc w:val="both"/>
      </w:pPr>
      <w:r w:rsidRPr="00820D4E">
        <w:rPr>
          <w:i/>
          <w:iCs/>
        </w:rPr>
        <w:t>Pour le lot 7 : 900.000 F CFA</w:t>
      </w:r>
      <w:r>
        <w:rPr>
          <w:i/>
          <w:iCs/>
        </w:rPr>
        <w:t>.</w:t>
      </w:r>
    </w:p>
    <w:p w14:paraId="5BC0F97D" w14:textId="406205F1" w:rsidR="00897058" w:rsidRPr="00FF5A0B" w:rsidRDefault="00551251" w:rsidP="00FF5A0B">
      <w:pPr>
        <w:numPr>
          <w:ilvl w:val="0"/>
          <w:numId w:val="2"/>
        </w:numPr>
        <w:tabs>
          <w:tab w:val="clear" w:pos="720"/>
          <w:tab w:val="left" w:pos="426"/>
        </w:tabs>
        <w:spacing w:before="120" w:after="120" w:line="240" w:lineRule="auto"/>
        <w:ind w:left="432" w:hanging="432"/>
        <w:jc w:val="both"/>
        <w:rPr>
          <w:rFonts w:ascii="Times New Roman" w:eastAsia="Times New Roman" w:hAnsi="Times New Roman"/>
          <w:iCs/>
          <w:lang w:eastAsia="fr-FR"/>
        </w:rPr>
      </w:pPr>
      <w:r w:rsidRPr="00C571E3">
        <w:rPr>
          <w:rFonts w:ascii="Times New Roman" w:eastAsia="Times New Roman" w:hAnsi="Times New Roman"/>
          <w:iCs/>
          <w:lang w:eastAsia="fr-FR"/>
        </w:rPr>
        <w:t xml:space="preserve">L’adresse à laquelle il est fait référence ci-dessus est : </w:t>
      </w:r>
      <w:bookmarkStart w:id="4" w:name="_Hlk193977065"/>
      <w:r w:rsidR="00C571E3" w:rsidRPr="008625D5">
        <w:t xml:space="preserve">Projet Régional d'Appui au Pastoralisme au Sahel (PRAPS) phase II, Secrétariat du Projet au </w:t>
      </w:r>
      <w:proofErr w:type="spellStart"/>
      <w:r w:rsidR="00C571E3" w:rsidRPr="008625D5">
        <w:t>rez</w:t>
      </w:r>
      <w:proofErr w:type="spellEnd"/>
      <w:r w:rsidR="00C571E3" w:rsidRPr="008625D5">
        <w:t xml:space="preserve"> de chaussée, Quartier village de la francophonie, derrière la FENIFOOT en face de la station ENI, Tél (</w:t>
      </w:r>
      <w:r w:rsidR="00C571E3">
        <w:t>+</w:t>
      </w:r>
      <w:r w:rsidR="00C571E3" w:rsidRPr="008625D5">
        <w:t>227) 20 32 54 56, BP : 13017 Niamey, (Niger).</w:t>
      </w:r>
      <w:bookmarkEnd w:id="4"/>
    </w:p>
    <w:p w14:paraId="68361EFA" w14:textId="77777777" w:rsidR="00FF5A0B" w:rsidRDefault="00FF5A0B" w:rsidP="00897058">
      <w:pPr>
        <w:pStyle w:val="Titre2"/>
        <w:jc w:val="right"/>
        <w:rPr>
          <w:rFonts w:ascii="Trebuchet MS" w:eastAsia="Calibri" w:hAnsi="Trebuchet MS" w:cs="Arial"/>
          <w:b/>
          <w:bCs/>
          <w:color w:val="auto"/>
          <w:u w:val="single"/>
          <w:lang w:val="fr-FR"/>
        </w:rPr>
      </w:pPr>
    </w:p>
    <w:p w14:paraId="15300AA0" w14:textId="0B8AD5BB" w:rsidR="00897058" w:rsidRDefault="00897058" w:rsidP="00897058">
      <w:pPr>
        <w:pStyle w:val="Titre2"/>
        <w:jc w:val="right"/>
        <w:rPr>
          <w:rFonts w:ascii="Trebuchet MS" w:eastAsia="Calibri" w:hAnsi="Trebuchet MS" w:cs="Arial"/>
          <w:b/>
          <w:bCs/>
          <w:color w:val="auto"/>
          <w:u w:val="single"/>
          <w:lang w:val="fr-FR"/>
        </w:rPr>
      </w:pPr>
      <w:r>
        <w:rPr>
          <w:rFonts w:ascii="Trebuchet MS" w:eastAsia="Calibri" w:hAnsi="Trebuchet MS" w:cs="Arial"/>
          <w:b/>
          <w:bCs/>
          <w:color w:val="auto"/>
          <w:u w:val="single"/>
          <w:lang w:val="fr-FR"/>
        </w:rPr>
        <w:t>Dr ATTE ISSA</w:t>
      </w:r>
    </w:p>
    <w:p w14:paraId="578E1EF1" w14:textId="77777777" w:rsidR="00813A4F" w:rsidRPr="00813A4F" w:rsidRDefault="00813A4F" w:rsidP="005B7AEB">
      <w:pPr>
        <w:tabs>
          <w:tab w:val="left" w:pos="3024"/>
        </w:tabs>
        <w:spacing w:after="0"/>
        <w:rPr>
          <w:rFonts w:ascii="Times New Roman" w:eastAsia="Times New Roman" w:hAnsi="Times New Roman"/>
          <w:i/>
          <w:iCs/>
          <w:lang w:eastAsia="fr-FR"/>
        </w:rPr>
      </w:pPr>
    </w:p>
    <w:sectPr w:rsidR="00813A4F" w:rsidRPr="00813A4F" w:rsidSect="00952BC5">
      <w:footerReference w:type="default" r:id="rId11"/>
      <w:pgSz w:w="12242" w:h="15842" w:code="1"/>
      <w:pgMar w:top="993"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CF4C" w14:textId="77777777" w:rsidR="00A82CD3" w:rsidRDefault="00A82CD3" w:rsidP="00952BC5">
      <w:pPr>
        <w:spacing w:after="0" w:line="240" w:lineRule="auto"/>
      </w:pPr>
      <w:r>
        <w:separator/>
      </w:r>
    </w:p>
  </w:endnote>
  <w:endnote w:type="continuationSeparator" w:id="0">
    <w:p w14:paraId="04DC03FA" w14:textId="77777777" w:rsidR="00A82CD3" w:rsidRDefault="00A82CD3" w:rsidP="0095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8981" w14:textId="77777777" w:rsidR="00E47AA4" w:rsidRDefault="00E47A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7FDC" w14:textId="77777777" w:rsidR="00A82CD3" w:rsidRDefault="00A82CD3" w:rsidP="00952BC5">
      <w:pPr>
        <w:spacing w:after="0" w:line="240" w:lineRule="auto"/>
      </w:pPr>
      <w:r>
        <w:separator/>
      </w:r>
    </w:p>
  </w:footnote>
  <w:footnote w:type="continuationSeparator" w:id="0">
    <w:p w14:paraId="4457779F" w14:textId="77777777" w:rsidR="00A82CD3" w:rsidRDefault="00A82CD3" w:rsidP="00952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539CFE84"/>
    <w:lvl w:ilvl="0">
      <w:start w:val="1"/>
      <w:numFmt w:val="decimal"/>
      <w:pStyle w:val="S1-Header2"/>
      <w:lvlText w:val="%1."/>
      <w:lvlJc w:val="left"/>
      <w:pPr>
        <w:tabs>
          <w:tab w:val="left"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A74533"/>
    <w:multiLevelType w:val="hybridMultilevel"/>
    <w:tmpl w:val="7FBE393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0D06AC"/>
    <w:multiLevelType w:val="hybridMultilevel"/>
    <w:tmpl w:val="231EB806"/>
    <w:lvl w:ilvl="0" w:tplc="14C29DD8">
      <w:start w:val="7"/>
      <w:numFmt w:val="bullet"/>
      <w:lvlText w:val="-"/>
      <w:lvlJc w:val="left"/>
      <w:pPr>
        <w:ind w:left="720" w:hanging="360"/>
      </w:pPr>
      <w:rPr>
        <w:rFonts w:ascii="Times New Roman" w:eastAsia="Times New Roman" w:hAnsi="Times New Roman" w:cs="Times New Roman"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95837"/>
    <w:multiLevelType w:val="hybridMultilevel"/>
    <w:tmpl w:val="EC480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F20A3E"/>
    <w:multiLevelType w:val="hybridMultilevel"/>
    <w:tmpl w:val="82E02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E3408A"/>
    <w:multiLevelType w:val="hybridMultilevel"/>
    <w:tmpl w:val="A3629528"/>
    <w:lvl w:ilvl="0" w:tplc="25881E0A">
      <w:start w:val="1"/>
      <w:numFmt w:val="bullet"/>
      <w:lvlText w:val=""/>
      <w:lvlJc w:val="left"/>
      <w:pPr>
        <w:ind w:left="1428" w:hanging="360"/>
      </w:pPr>
      <w:rPr>
        <w:rFonts w:ascii="Wingdings" w:hAnsi="Wingdings" w:hint="default"/>
        <w:b/>
        <w:sz w:val="28"/>
        <w:szCs w:val="28"/>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A21732C"/>
    <w:multiLevelType w:val="hybridMultilevel"/>
    <w:tmpl w:val="821838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B07941"/>
    <w:multiLevelType w:val="hybridMultilevel"/>
    <w:tmpl w:val="EFEEFB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582481"/>
    <w:multiLevelType w:val="hybridMultilevel"/>
    <w:tmpl w:val="8354CA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525DE4"/>
    <w:multiLevelType w:val="hybridMultilevel"/>
    <w:tmpl w:val="B62C4E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45081B"/>
    <w:multiLevelType w:val="multilevel"/>
    <w:tmpl w:val="C0DC6430"/>
    <w:lvl w:ilvl="0">
      <w:start w:val="1"/>
      <w:numFmt w:val="decimal"/>
      <w:lvlText w:val="%1."/>
      <w:lvlJc w:val="left"/>
      <w:pPr>
        <w:tabs>
          <w:tab w:val="num" w:pos="720"/>
        </w:tabs>
        <w:ind w:left="720" w:hanging="360"/>
      </w:pPr>
      <w:rPr>
        <w:b/>
        <w:i/>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935C44"/>
    <w:multiLevelType w:val="hybridMultilevel"/>
    <w:tmpl w:val="D3FE4EDA"/>
    <w:lvl w:ilvl="0" w:tplc="2000000B">
      <w:start w:val="1"/>
      <w:numFmt w:val="bullet"/>
      <w:lvlText w:val=""/>
      <w:lvlJc w:val="left"/>
      <w:pPr>
        <w:ind w:left="1152" w:hanging="360"/>
      </w:pPr>
      <w:rPr>
        <w:rFonts w:ascii="Wingdings" w:hAnsi="Wingdings" w:hint="default"/>
      </w:rPr>
    </w:lvl>
    <w:lvl w:ilvl="1" w:tplc="20000003">
      <w:start w:val="1"/>
      <w:numFmt w:val="bullet"/>
      <w:lvlText w:val="o"/>
      <w:lvlJc w:val="left"/>
      <w:pPr>
        <w:ind w:left="1872" w:hanging="360"/>
      </w:pPr>
      <w:rPr>
        <w:rFonts w:ascii="Courier New" w:hAnsi="Courier New" w:cs="Courier New" w:hint="default"/>
      </w:rPr>
    </w:lvl>
    <w:lvl w:ilvl="2" w:tplc="20000005" w:tentative="1">
      <w:start w:val="1"/>
      <w:numFmt w:val="bullet"/>
      <w:lvlText w:val=""/>
      <w:lvlJc w:val="left"/>
      <w:pPr>
        <w:ind w:left="2592" w:hanging="360"/>
      </w:pPr>
      <w:rPr>
        <w:rFonts w:ascii="Wingdings" w:hAnsi="Wingdings" w:hint="default"/>
      </w:rPr>
    </w:lvl>
    <w:lvl w:ilvl="3" w:tplc="20000001" w:tentative="1">
      <w:start w:val="1"/>
      <w:numFmt w:val="bullet"/>
      <w:lvlText w:val=""/>
      <w:lvlJc w:val="left"/>
      <w:pPr>
        <w:ind w:left="3312" w:hanging="360"/>
      </w:pPr>
      <w:rPr>
        <w:rFonts w:ascii="Symbol" w:hAnsi="Symbol" w:hint="default"/>
      </w:rPr>
    </w:lvl>
    <w:lvl w:ilvl="4" w:tplc="20000003" w:tentative="1">
      <w:start w:val="1"/>
      <w:numFmt w:val="bullet"/>
      <w:lvlText w:val="o"/>
      <w:lvlJc w:val="left"/>
      <w:pPr>
        <w:ind w:left="4032" w:hanging="360"/>
      </w:pPr>
      <w:rPr>
        <w:rFonts w:ascii="Courier New" w:hAnsi="Courier New" w:cs="Courier New" w:hint="default"/>
      </w:rPr>
    </w:lvl>
    <w:lvl w:ilvl="5" w:tplc="20000005" w:tentative="1">
      <w:start w:val="1"/>
      <w:numFmt w:val="bullet"/>
      <w:lvlText w:val=""/>
      <w:lvlJc w:val="left"/>
      <w:pPr>
        <w:ind w:left="4752" w:hanging="360"/>
      </w:pPr>
      <w:rPr>
        <w:rFonts w:ascii="Wingdings" w:hAnsi="Wingdings" w:hint="default"/>
      </w:rPr>
    </w:lvl>
    <w:lvl w:ilvl="6" w:tplc="20000001" w:tentative="1">
      <w:start w:val="1"/>
      <w:numFmt w:val="bullet"/>
      <w:lvlText w:val=""/>
      <w:lvlJc w:val="left"/>
      <w:pPr>
        <w:ind w:left="5472" w:hanging="360"/>
      </w:pPr>
      <w:rPr>
        <w:rFonts w:ascii="Symbol" w:hAnsi="Symbol" w:hint="default"/>
      </w:rPr>
    </w:lvl>
    <w:lvl w:ilvl="7" w:tplc="20000003" w:tentative="1">
      <w:start w:val="1"/>
      <w:numFmt w:val="bullet"/>
      <w:lvlText w:val="o"/>
      <w:lvlJc w:val="left"/>
      <w:pPr>
        <w:ind w:left="6192" w:hanging="360"/>
      </w:pPr>
      <w:rPr>
        <w:rFonts w:ascii="Courier New" w:hAnsi="Courier New" w:cs="Courier New" w:hint="default"/>
      </w:rPr>
    </w:lvl>
    <w:lvl w:ilvl="8" w:tplc="20000005" w:tentative="1">
      <w:start w:val="1"/>
      <w:numFmt w:val="bullet"/>
      <w:lvlText w:val=""/>
      <w:lvlJc w:val="left"/>
      <w:pPr>
        <w:ind w:left="6912" w:hanging="360"/>
      </w:pPr>
      <w:rPr>
        <w:rFonts w:ascii="Wingdings" w:hAnsi="Wingdings" w:hint="default"/>
      </w:rPr>
    </w:lvl>
  </w:abstractNum>
  <w:abstractNum w:abstractNumId="13" w15:restartNumberingAfterBreak="0">
    <w:nsid w:val="53466E36"/>
    <w:multiLevelType w:val="hybridMultilevel"/>
    <w:tmpl w:val="9544EB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A35020"/>
    <w:multiLevelType w:val="hybridMultilevel"/>
    <w:tmpl w:val="607612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B82DD8"/>
    <w:multiLevelType w:val="hybridMultilevel"/>
    <w:tmpl w:val="D9DE9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D52A06"/>
    <w:multiLevelType w:val="hybridMultilevel"/>
    <w:tmpl w:val="2E7EE5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56152632">
    <w:abstractNumId w:val="5"/>
  </w:num>
  <w:num w:numId="2" w16cid:durableId="1500660309">
    <w:abstractNumId w:val="8"/>
  </w:num>
  <w:num w:numId="3" w16cid:durableId="1159812302">
    <w:abstractNumId w:val="11"/>
  </w:num>
  <w:num w:numId="4" w16cid:durableId="1413618960">
    <w:abstractNumId w:val="12"/>
  </w:num>
  <w:num w:numId="5" w16cid:durableId="618294757">
    <w:abstractNumId w:val="1"/>
  </w:num>
  <w:num w:numId="6" w16cid:durableId="1640266108">
    <w:abstractNumId w:val="15"/>
  </w:num>
  <w:num w:numId="7" w16cid:durableId="1180853006">
    <w:abstractNumId w:val="0"/>
  </w:num>
  <w:num w:numId="8" w16cid:durableId="1490172290">
    <w:abstractNumId w:val="7"/>
  </w:num>
  <w:num w:numId="9" w16cid:durableId="738593573">
    <w:abstractNumId w:val="6"/>
  </w:num>
  <w:num w:numId="10" w16cid:durableId="1886988262">
    <w:abstractNumId w:val="16"/>
  </w:num>
  <w:num w:numId="11" w16cid:durableId="1823884046">
    <w:abstractNumId w:val="14"/>
  </w:num>
  <w:num w:numId="12" w16cid:durableId="507986275">
    <w:abstractNumId w:val="10"/>
  </w:num>
  <w:num w:numId="13" w16cid:durableId="1637448443">
    <w:abstractNumId w:val="13"/>
  </w:num>
  <w:num w:numId="14" w16cid:durableId="1195729579">
    <w:abstractNumId w:val="3"/>
  </w:num>
  <w:num w:numId="15" w16cid:durableId="2031643319">
    <w:abstractNumId w:val="9"/>
  </w:num>
  <w:num w:numId="16" w16cid:durableId="1730500121">
    <w:abstractNumId w:val="4"/>
  </w:num>
  <w:num w:numId="17" w16cid:durableId="1641374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B3"/>
    <w:rsid w:val="00012F5F"/>
    <w:rsid w:val="00036943"/>
    <w:rsid w:val="00041FC2"/>
    <w:rsid w:val="00064E11"/>
    <w:rsid w:val="0006742F"/>
    <w:rsid w:val="00077D3B"/>
    <w:rsid w:val="0009671C"/>
    <w:rsid w:val="000A4DEA"/>
    <w:rsid w:val="000A7CA0"/>
    <w:rsid w:val="000F003B"/>
    <w:rsid w:val="00115715"/>
    <w:rsid w:val="00116002"/>
    <w:rsid w:val="00116510"/>
    <w:rsid w:val="001476B3"/>
    <w:rsid w:val="00173EB3"/>
    <w:rsid w:val="00175931"/>
    <w:rsid w:val="00180EFF"/>
    <w:rsid w:val="00190801"/>
    <w:rsid w:val="001A0709"/>
    <w:rsid w:val="001B6344"/>
    <w:rsid w:val="001D1873"/>
    <w:rsid w:val="001D1945"/>
    <w:rsid w:val="001D53CF"/>
    <w:rsid w:val="001F3EC3"/>
    <w:rsid w:val="00214473"/>
    <w:rsid w:val="002256DA"/>
    <w:rsid w:val="002300BB"/>
    <w:rsid w:val="002868BB"/>
    <w:rsid w:val="002A7894"/>
    <w:rsid w:val="002C0910"/>
    <w:rsid w:val="002D3DE5"/>
    <w:rsid w:val="002E309C"/>
    <w:rsid w:val="002E5C08"/>
    <w:rsid w:val="002E6210"/>
    <w:rsid w:val="002F40BE"/>
    <w:rsid w:val="00301D53"/>
    <w:rsid w:val="00307B4D"/>
    <w:rsid w:val="0031028A"/>
    <w:rsid w:val="003152F6"/>
    <w:rsid w:val="00334007"/>
    <w:rsid w:val="00334293"/>
    <w:rsid w:val="00352278"/>
    <w:rsid w:val="00366C87"/>
    <w:rsid w:val="003802A7"/>
    <w:rsid w:val="00385D3D"/>
    <w:rsid w:val="00394106"/>
    <w:rsid w:val="003C7CF0"/>
    <w:rsid w:val="00400D5A"/>
    <w:rsid w:val="00406DC8"/>
    <w:rsid w:val="00421FA4"/>
    <w:rsid w:val="004437C3"/>
    <w:rsid w:val="004649DC"/>
    <w:rsid w:val="00474383"/>
    <w:rsid w:val="00492864"/>
    <w:rsid w:val="004B1C20"/>
    <w:rsid w:val="004B7254"/>
    <w:rsid w:val="004C7E23"/>
    <w:rsid w:val="004E077A"/>
    <w:rsid w:val="00505568"/>
    <w:rsid w:val="00516344"/>
    <w:rsid w:val="00551251"/>
    <w:rsid w:val="00564348"/>
    <w:rsid w:val="00567521"/>
    <w:rsid w:val="005A1AE6"/>
    <w:rsid w:val="005A5103"/>
    <w:rsid w:val="005B65F7"/>
    <w:rsid w:val="005B7AEB"/>
    <w:rsid w:val="005C4354"/>
    <w:rsid w:val="005D6DF2"/>
    <w:rsid w:val="005D7F8E"/>
    <w:rsid w:val="00630F2A"/>
    <w:rsid w:val="00641E87"/>
    <w:rsid w:val="006506A5"/>
    <w:rsid w:val="00676EEF"/>
    <w:rsid w:val="00683264"/>
    <w:rsid w:val="0069400C"/>
    <w:rsid w:val="006A6BD7"/>
    <w:rsid w:val="006D53EC"/>
    <w:rsid w:val="006D6515"/>
    <w:rsid w:val="006F2D16"/>
    <w:rsid w:val="006F4DCC"/>
    <w:rsid w:val="006F70A9"/>
    <w:rsid w:val="00706DEB"/>
    <w:rsid w:val="00721AD1"/>
    <w:rsid w:val="00723B6F"/>
    <w:rsid w:val="00724871"/>
    <w:rsid w:val="00726FD9"/>
    <w:rsid w:val="00734DDF"/>
    <w:rsid w:val="007B0A3D"/>
    <w:rsid w:val="007C20C8"/>
    <w:rsid w:val="007E17B1"/>
    <w:rsid w:val="007E3516"/>
    <w:rsid w:val="007E645A"/>
    <w:rsid w:val="007F5066"/>
    <w:rsid w:val="00813A4F"/>
    <w:rsid w:val="00840890"/>
    <w:rsid w:val="00856452"/>
    <w:rsid w:val="00856570"/>
    <w:rsid w:val="008625D5"/>
    <w:rsid w:val="00867D53"/>
    <w:rsid w:val="008710B5"/>
    <w:rsid w:val="00882C40"/>
    <w:rsid w:val="00883708"/>
    <w:rsid w:val="00897058"/>
    <w:rsid w:val="008A4031"/>
    <w:rsid w:val="008A5019"/>
    <w:rsid w:val="008A5B13"/>
    <w:rsid w:val="008B3B4F"/>
    <w:rsid w:val="008B5A96"/>
    <w:rsid w:val="00907930"/>
    <w:rsid w:val="00907D84"/>
    <w:rsid w:val="00907E03"/>
    <w:rsid w:val="009148B4"/>
    <w:rsid w:val="009159FB"/>
    <w:rsid w:val="009337D1"/>
    <w:rsid w:val="00933F1A"/>
    <w:rsid w:val="00937593"/>
    <w:rsid w:val="00942CD8"/>
    <w:rsid w:val="00952BC5"/>
    <w:rsid w:val="00982E7B"/>
    <w:rsid w:val="009B3470"/>
    <w:rsid w:val="009D04BA"/>
    <w:rsid w:val="009F227F"/>
    <w:rsid w:val="00A03B54"/>
    <w:rsid w:val="00A03E07"/>
    <w:rsid w:val="00A21299"/>
    <w:rsid w:val="00A24A5E"/>
    <w:rsid w:val="00A53EC3"/>
    <w:rsid w:val="00A82CD3"/>
    <w:rsid w:val="00A912D8"/>
    <w:rsid w:val="00AD5A9A"/>
    <w:rsid w:val="00B04B74"/>
    <w:rsid w:val="00B0795D"/>
    <w:rsid w:val="00B160C2"/>
    <w:rsid w:val="00B4731D"/>
    <w:rsid w:val="00B54A0A"/>
    <w:rsid w:val="00B77B52"/>
    <w:rsid w:val="00B8352D"/>
    <w:rsid w:val="00B8653E"/>
    <w:rsid w:val="00BC7634"/>
    <w:rsid w:val="00BC7841"/>
    <w:rsid w:val="00BE20DE"/>
    <w:rsid w:val="00BE3F88"/>
    <w:rsid w:val="00BE598A"/>
    <w:rsid w:val="00C017C7"/>
    <w:rsid w:val="00C12418"/>
    <w:rsid w:val="00C260A1"/>
    <w:rsid w:val="00C306A4"/>
    <w:rsid w:val="00C571E3"/>
    <w:rsid w:val="00C60258"/>
    <w:rsid w:val="00C66B9D"/>
    <w:rsid w:val="00C948B8"/>
    <w:rsid w:val="00CF321C"/>
    <w:rsid w:val="00D056E3"/>
    <w:rsid w:val="00D1662B"/>
    <w:rsid w:val="00D21E37"/>
    <w:rsid w:val="00D469C6"/>
    <w:rsid w:val="00D71F97"/>
    <w:rsid w:val="00D964FF"/>
    <w:rsid w:val="00DB5603"/>
    <w:rsid w:val="00DD35EB"/>
    <w:rsid w:val="00DF17D4"/>
    <w:rsid w:val="00E02F92"/>
    <w:rsid w:val="00E326C2"/>
    <w:rsid w:val="00E47AA4"/>
    <w:rsid w:val="00E51C04"/>
    <w:rsid w:val="00E734C5"/>
    <w:rsid w:val="00E81DE1"/>
    <w:rsid w:val="00E82395"/>
    <w:rsid w:val="00EE092C"/>
    <w:rsid w:val="00EE0AA3"/>
    <w:rsid w:val="00EF0F47"/>
    <w:rsid w:val="00F03390"/>
    <w:rsid w:val="00F07C13"/>
    <w:rsid w:val="00F114A8"/>
    <w:rsid w:val="00F13F20"/>
    <w:rsid w:val="00F17281"/>
    <w:rsid w:val="00F33C55"/>
    <w:rsid w:val="00F36B91"/>
    <w:rsid w:val="00F508C1"/>
    <w:rsid w:val="00F57BEA"/>
    <w:rsid w:val="00F74A9A"/>
    <w:rsid w:val="00F92C16"/>
    <w:rsid w:val="00FC20F9"/>
    <w:rsid w:val="00FC658C"/>
    <w:rsid w:val="00FE56B2"/>
    <w:rsid w:val="00FE7D45"/>
    <w:rsid w:val="00FF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B6C8"/>
  <w15:chartTrackingRefBased/>
  <w15:docId w15:val="{1AE9BE95-DCC2-4366-8A26-2C1487EC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B3"/>
    <w:rPr>
      <w:rFonts w:ascii="Calibri" w:eastAsia="Calibri" w:hAnsi="Calibri" w:cs="Times New Roman"/>
      <w:lang w:val="fr-FR"/>
    </w:rPr>
  </w:style>
  <w:style w:type="paragraph" w:styleId="Titre2">
    <w:name w:val="heading 2"/>
    <w:basedOn w:val="Normal"/>
    <w:next w:val="Normal"/>
    <w:link w:val="Titre2Car"/>
    <w:uiPriority w:val="9"/>
    <w:unhideWhenUsed/>
    <w:qFormat/>
    <w:rsid w:val="00813A4F"/>
    <w:pPr>
      <w:keepNext/>
      <w:keepLines/>
      <w:spacing w:before="40" w:after="0" w:line="276" w:lineRule="auto"/>
      <w:outlineLvl w:val="1"/>
    </w:pPr>
    <w:rPr>
      <w:rFonts w:ascii="Cambria" w:eastAsia="SimSun" w:hAnsi="Cambria" w:cs="SimSun"/>
      <w:color w:val="365F91"/>
      <w:sz w:val="26"/>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Puces,- List tir,liste 1,puce 1,List Paragraph,List bullet,Paragraphe de liste1,List Paragraph (numbered (a)),Liste 1,List Paragraph nowy,Numbered List Paragraph,ReferencesCxSpLast,본문(내용)"/>
    <w:basedOn w:val="Normal"/>
    <w:link w:val="ParagraphedelisteCar"/>
    <w:qFormat/>
    <w:rsid w:val="00907E03"/>
    <w:pPr>
      <w:spacing w:after="0" w:line="240" w:lineRule="auto"/>
      <w:ind w:left="720"/>
      <w:contextualSpacing/>
    </w:pPr>
    <w:rPr>
      <w:rFonts w:ascii="Times New Roman" w:eastAsia="Times New Roman" w:hAnsi="Times New Roman"/>
      <w:sz w:val="24"/>
      <w:szCs w:val="24"/>
      <w:lang w:eastAsia="fr-FR"/>
    </w:rPr>
  </w:style>
  <w:style w:type="character" w:customStyle="1" w:styleId="ParagraphedelisteCar">
    <w:name w:val="Paragraphe de liste Car"/>
    <w:aliases w:val="Bullets Car,Medium Grid 1 - Accent 21 Car,References Car,Puces Car,- List tir Car,liste 1 Car,puce 1 Car,List Paragraph Car,List bullet Car,Paragraphe de liste1 Car,List Paragraph (numbered (a)) Car,Liste 1 Car,본문(내용) Car"/>
    <w:link w:val="Paragraphedeliste"/>
    <w:qFormat/>
    <w:locked/>
    <w:rsid w:val="00907E03"/>
    <w:rPr>
      <w:rFonts w:ascii="Times New Roman" w:eastAsia="Times New Roman" w:hAnsi="Times New Roman" w:cs="Times New Roman"/>
      <w:sz w:val="24"/>
      <w:szCs w:val="24"/>
      <w:lang w:val="fr-FR" w:eastAsia="fr-FR"/>
    </w:rPr>
  </w:style>
  <w:style w:type="paragraph" w:styleId="Sous-titre">
    <w:name w:val="Subtitle"/>
    <w:basedOn w:val="Normal"/>
    <w:link w:val="Sous-titreCar"/>
    <w:qFormat/>
    <w:rsid w:val="001D53CF"/>
    <w:pPr>
      <w:spacing w:after="0" w:line="240" w:lineRule="auto"/>
      <w:jc w:val="center"/>
    </w:pPr>
    <w:rPr>
      <w:rFonts w:ascii="Times New Roman" w:eastAsia="Times New Roman" w:hAnsi="Times New Roman"/>
      <w:b/>
      <w:sz w:val="44"/>
      <w:szCs w:val="20"/>
      <w:lang w:val="es-ES_tradnl" w:eastAsia="fr-FR"/>
    </w:rPr>
  </w:style>
  <w:style w:type="character" w:customStyle="1" w:styleId="Sous-titreCar">
    <w:name w:val="Sous-titre Car"/>
    <w:basedOn w:val="Policepardfaut"/>
    <w:link w:val="Sous-titre"/>
    <w:rsid w:val="001D53CF"/>
    <w:rPr>
      <w:rFonts w:ascii="Times New Roman" w:eastAsia="Times New Roman" w:hAnsi="Times New Roman" w:cs="Times New Roman"/>
      <w:b/>
      <w:sz w:val="44"/>
      <w:szCs w:val="20"/>
      <w:lang w:val="es-ES_tradnl" w:eastAsia="fr-FR"/>
    </w:rPr>
  </w:style>
  <w:style w:type="character" w:styleId="Lienhypertexte">
    <w:name w:val="Hyperlink"/>
    <w:uiPriority w:val="99"/>
    <w:rsid w:val="00A53EC3"/>
    <w:rPr>
      <w:rFonts w:ascii="Times New Roman" w:hAnsi="Times New Roman"/>
      <w:b w:val="0"/>
      <w:color w:val="auto"/>
      <w:sz w:val="24"/>
      <w:u w:val="single"/>
    </w:rPr>
  </w:style>
  <w:style w:type="paragraph" w:styleId="Rvision">
    <w:name w:val="Revision"/>
    <w:hidden/>
    <w:uiPriority w:val="99"/>
    <w:semiHidden/>
    <w:rsid w:val="00334007"/>
    <w:pPr>
      <w:spacing w:after="0" w:line="240" w:lineRule="auto"/>
    </w:pPr>
    <w:rPr>
      <w:rFonts w:ascii="Calibri" w:eastAsia="Calibri" w:hAnsi="Calibri" w:cs="Times New Roman"/>
      <w:lang w:val="fr-FR"/>
    </w:rPr>
  </w:style>
  <w:style w:type="paragraph" w:styleId="Notedebasdepage">
    <w:name w:val="footnote text"/>
    <w:basedOn w:val="Normal"/>
    <w:link w:val="NotedebasdepageCar"/>
    <w:uiPriority w:val="99"/>
    <w:semiHidden/>
    <w:unhideWhenUsed/>
    <w:rsid w:val="00B160C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60C2"/>
    <w:rPr>
      <w:rFonts w:ascii="Calibri" w:eastAsia="Calibri" w:hAnsi="Calibri" w:cs="Times New Roman"/>
      <w:sz w:val="20"/>
      <w:szCs w:val="20"/>
      <w:lang w:val="fr-FR"/>
    </w:rPr>
  </w:style>
  <w:style w:type="character" w:styleId="Appelnotedebasdep">
    <w:name w:val="footnote reference"/>
    <w:aliases w:val="callout"/>
    <w:basedOn w:val="Policepardfaut"/>
    <w:uiPriority w:val="99"/>
    <w:rsid w:val="00B160C2"/>
    <w:rPr>
      <w:rFonts w:cs="Times New Roman"/>
      <w:vertAlign w:val="superscript"/>
    </w:rPr>
  </w:style>
  <w:style w:type="table" w:styleId="Grilledutableau">
    <w:name w:val="Table Grid"/>
    <w:aliases w:val="网格型-中对齐,网格型!"/>
    <w:basedOn w:val="TableauNormal"/>
    <w:uiPriority w:val="39"/>
    <w:rsid w:val="00B160C2"/>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7AA4"/>
    <w:pPr>
      <w:tabs>
        <w:tab w:val="center" w:pos="4536"/>
        <w:tab w:val="right" w:pos="9072"/>
      </w:tabs>
      <w:spacing w:after="0" w:line="240" w:lineRule="auto"/>
    </w:pPr>
  </w:style>
  <w:style w:type="character" w:customStyle="1" w:styleId="En-tteCar">
    <w:name w:val="En-tête Car"/>
    <w:basedOn w:val="Policepardfaut"/>
    <w:link w:val="En-tte"/>
    <w:uiPriority w:val="99"/>
    <w:rsid w:val="00E47AA4"/>
    <w:rPr>
      <w:rFonts w:ascii="Calibri" w:eastAsia="Calibri" w:hAnsi="Calibri" w:cs="Times New Roman"/>
      <w:lang w:val="fr-FR"/>
    </w:rPr>
  </w:style>
  <w:style w:type="paragraph" w:styleId="Pieddepage">
    <w:name w:val="footer"/>
    <w:basedOn w:val="Normal"/>
    <w:link w:val="PieddepageCar"/>
    <w:uiPriority w:val="99"/>
    <w:unhideWhenUsed/>
    <w:rsid w:val="00E47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7AA4"/>
    <w:rPr>
      <w:rFonts w:ascii="Calibri" w:eastAsia="Calibri" w:hAnsi="Calibri" w:cs="Times New Roman"/>
      <w:lang w:val="fr-FR"/>
    </w:rPr>
  </w:style>
  <w:style w:type="paragraph" w:customStyle="1" w:styleId="S1-Header2">
    <w:name w:val="S1-Header2"/>
    <w:basedOn w:val="Normal"/>
    <w:rsid w:val="00813A4F"/>
    <w:pPr>
      <w:numPr>
        <w:numId w:val="7"/>
      </w:numPr>
      <w:spacing w:after="200" w:line="240" w:lineRule="auto"/>
    </w:pPr>
    <w:rPr>
      <w:rFonts w:ascii="Times New Roman" w:eastAsia="Times New Roman" w:hAnsi="Times New Roman"/>
      <w:b/>
      <w:sz w:val="24"/>
      <w:szCs w:val="24"/>
      <w:lang w:val="en-US"/>
    </w:rPr>
  </w:style>
  <w:style w:type="character" w:styleId="Mentionnonrsolue">
    <w:name w:val="Unresolved Mention"/>
    <w:basedOn w:val="Policepardfaut"/>
    <w:uiPriority w:val="99"/>
    <w:semiHidden/>
    <w:unhideWhenUsed/>
    <w:rsid w:val="00813A4F"/>
    <w:rPr>
      <w:color w:val="605E5C"/>
      <w:shd w:val="clear" w:color="auto" w:fill="E1DFDD"/>
    </w:rPr>
  </w:style>
  <w:style w:type="character" w:customStyle="1" w:styleId="Titre2Car">
    <w:name w:val="Titre 2 Car"/>
    <w:basedOn w:val="Policepardfaut"/>
    <w:link w:val="Titre2"/>
    <w:uiPriority w:val="9"/>
    <w:rsid w:val="00813A4F"/>
    <w:rPr>
      <w:rFonts w:ascii="Cambria" w:eastAsia="SimSun" w:hAnsi="Cambria" w:cs="SimSu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pm@praps2niger.ne" TargetMode="External"/><Relationship Id="rId4" Type="http://schemas.openxmlformats.org/officeDocument/2006/relationships/settings" Target="settings.xml"/><Relationship Id="rId9" Type="http://schemas.openxmlformats.org/officeDocument/2006/relationships/hyperlink" Target="mailto:atteis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C0C8-9EE7-408F-B719-E3EFBCB3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4933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Salifou Abdou Dan Baba</dc:creator>
  <cp:keywords/>
  <dc:description/>
  <cp:lastModifiedBy>HP</cp:lastModifiedBy>
  <cp:revision>2</cp:revision>
  <cp:lastPrinted>2024-12-06T16:29:00Z</cp:lastPrinted>
  <dcterms:created xsi:type="dcterms:W3CDTF">2026-01-27T09:57:00Z</dcterms:created>
  <dcterms:modified xsi:type="dcterms:W3CDTF">2026-01-27T09:57:00Z</dcterms:modified>
</cp:coreProperties>
</file>