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BE218E" w:rsidRPr="007006E0" w14:paraId="7E6A59DB" w14:textId="77777777" w:rsidTr="00595CF2">
        <w:tc>
          <w:tcPr>
            <w:tcW w:w="7088" w:type="dxa"/>
            <w:tcMar>
              <w:left w:w="0" w:type="dxa"/>
              <w:right w:w="0" w:type="dxa"/>
            </w:tcMar>
          </w:tcPr>
          <w:p w14:paraId="3E40500E" w14:textId="77777777" w:rsidR="00BE218E" w:rsidRPr="007006E0" w:rsidRDefault="00BE218E" w:rsidP="001A5117">
            <w:pPr>
              <w:spacing w:after="0"/>
              <w:jc w:val="both"/>
            </w:pPr>
            <w:bookmarkStart w:id="0" w:name="_GoBack"/>
            <w:bookmarkEnd w:id="0"/>
            <w:r w:rsidRPr="007006E0">
              <w:t>Titre du projet</w:t>
            </w:r>
          </w:p>
          <w:p w14:paraId="444BEE18" w14:textId="77777777" w:rsidR="00BE218E" w:rsidRPr="00F21E53" w:rsidRDefault="00BE218E" w:rsidP="001A5117">
            <w:pPr>
              <w:spacing w:after="0"/>
              <w:jc w:val="both"/>
              <w:rPr>
                <w:b/>
                <w:bCs/>
              </w:rPr>
            </w:pPr>
            <w:r w:rsidRPr="00F21E53">
              <w:rPr>
                <w:b/>
                <w:bCs/>
              </w:rPr>
              <w:t>Bureau National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2FF9F3B9" w14:textId="77777777" w:rsidR="00BE218E" w:rsidRPr="007006E0" w:rsidRDefault="00BE218E" w:rsidP="001A5117">
            <w:pPr>
              <w:spacing w:after="0"/>
              <w:jc w:val="both"/>
            </w:pPr>
            <w:r w:rsidRPr="007006E0">
              <w:t>Numéro du projet :</w:t>
            </w:r>
          </w:p>
          <w:p w14:paraId="2307D45B" w14:textId="395453A8" w:rsidR="00BE218E" w:rsidRPr="00F21E53" w:rsidRDefault="00F31707" w:rsidP="001A5117">
            <w:pPr>
              <w:spacing w:after="0"/>
              <w:jc w:val="both"/>
              <w:rPr>
                <w:b/>
                <w:bCs/>
              </w:rPr>
            </w:pPr>
            <w:r w:rsidRPr="00F21E53">
              <w:rPr>
                <w:b/>
                <w:bCs/>
              </w:rPr>
              <w:t>99.9233.0-001.00</w:t>
            </w:r>
          </w:p>
        </w:tc>
      </w:tr>
    </w:tbl>
    <w:p w14:paraId="51062C9B" w14:textId="77777777" w:rsidR="00BE218E" w:rsidRPr="000D536C" w:rsidRDefault="00BE218E" w:rsidP="001A5117">
      <w:pPr>
        <w:spacing w:after="0"/>
        <w:jc w:val="both"/>
      </w:pPr>
    </w:p>
    <w:p w14:paraId="74EA0E7F" w14:textId="77565B55" w:rsidR="00BE218E" w:rsidRDefault="00BE218E" w:rsidP="001A5117">
      <w:pPr>
        <w:spacing w:after="0"/>
        <w:jc w:val="both"/>
      </w:pPr>
      <w:r w:rsidRPr="00CD5B2A">
        <w:t>TABLE DES MATIERES</w:t>
      </w:r>
    </w:p>
    <w:p w14:paraId="46FABDFF" w14:textId="77777777" w:rsidR="00D66AD0" w:rsidRPr="00CD5B2A" w:rsidRDefault="00D66AD0" w:rsidP="00794640">
      <w:pPr>
        <w:spacing w:after="0" w:line="240" w:lineRule="auto"/>
        <w:jc w:val="both"/>
      </w:pPr>
    </w:p>
    <w:p w14:paraId="19575C36" w14:textId="770F73F8" w:rsidR="00383CE3" w:rsidRDefault="002673ED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r>
        <w:rPr>
          <w:b w:val="0"/>
          <w:iCs w:val="0"/>
        </w:rPr>
        <w:fldChar w:fldCharType="begin"/>
      </w:r>
      <w:r>
        <w:rPr>
          <w:b w:val="0"/>
          <w:iCs w:val="0"/>
        </w:rPr>
        <w:instrText xml:space="preserve"> TOC \o "1-4" \h \z \u </w:instrText>
      </w:r>
      <w:r>
        <w:rPr>
          <w:b w:val="0"/>
          <w:iCs w:val="0"/>
        </w:rPr>
        <w:fldChar w:fldCharType="separate"/>
      </w:r>
      <w:hyperlink w:anchor="_Toc34049100" w:history="1">
        <w:r w:rsidR="00383CE3" w:rsidRPr="003B1ACE">
          <w:rPr>
            <w:rStyle w:val="Lienhypertexte"/>
            <w:noProof/>
          </w:rPr>
          <w:t>1.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Contexte et justification de l’activité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_Toc34049100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2</w:t>
        </w:r>
        <w:r w:rsidR="00383CE3">
          <w:rPr>
            <w:noProof/>
            <w:webHidden/>
          </w:rPr>
          <w:fldChar w:fldCharType="end"/>
        </w:r>
      </w:hyperlink>
    </w:p>
    <w:p w14:paraId="47794FAB" w14:textId="19E49F9F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01" w:history="1">
        <w:r w:rsidR="00383CE3" w:rsidRPr="003B1ACE">
          <w:rPr>
            <w:rStyle w:val="Lienhypertexte"/>
            <w:noProof/>
          </w:rPr>
          <w:t>2.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Objectifs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_Toc34049101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2</w:t>
        </w:r>
        <w:r w:rsidR="00383CE3">
          <w:rPr>
            <w:noProof/>
            <w:webHidden/>
          </w:rPr>
          <w:fldChar w:fldCharType="end"/>
        </w:r>
      </w:hyperlink>
    </w:p>
    <w:p w14:paraId="13F23AFA" w14:textId="26DAC333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02" w:history="1">
        <w:r w:rsidR="00383CE3" w:rsidRPr="003B1ACE">
          <w:rPr>
            <w:rStyle w:val="Lienhypertexte"/>
            <w:noProof/>
          </w:rPr>
          <w:t>3.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Objectifs spécifiques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_Toc34049102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2</w:t>
        </w:r>
        <w:r w:rsidR="00383CE3">
          <w:rPr>
            <w:noProof/>
            <w:webHidden/>
          </w:rPr>
          <w:fldChar w:fldCharType="end"/>
        </w:r>
      </w:hyperlink>
    </w:p>
    <w:p w14:paraId="4ECD32DB" w14:textId="78C7B92F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03" w:history="1">
        <w:r w:rsidR="00383CE3" w:rsidRPr="003B1ACE">
          <w:rPr>
            <w:rStyle w:val="Lienhypertexte"/>
            <w:noProof/>
          </w:rPr>
          <w:t>4.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Sécurité aérienne et choix des compagnies aériennes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_Toc34049103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2</w:t>
        </w:r>
        <w:r w:rsidR="00383CE3">
          <w:rPr>
            <w:noProof/>
            <w:webHidden/>
          </w:rPr>
          <w:fldChar w:fldCharType="end"/>
        </w:r>
      </w:hyperlink>
    </w:p>
    <w:p w14:paraId="3124D194" w14:textId="3B582AAD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04" w:history="1">
        <w:r w:rsidR="00383CE3" w:rsidRPr="003B1ACE">
          <w:rPr>
            <w:rStyle w:val="Lienhypertexte"/>
            <w:noProof/>
          </w:rPr>
          <w:t>5.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Méthode de travail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_Toc34049104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3</w:t>
        </w:r>
        <w:r w:rsidR="00383CE3">
          <w:rPr>
            <w:noProof/>
            <w:webHidden/>
          </w:rPr>
          <w:fldChar w:fldCharType="end"/>
        </w:r>
      </w:hyperlink>
    </w:p>
    <w:p w14:paraId="6C88E252" w14:textId="3FB3AFE9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05" w:history="1">
        <w:r w:rsidR="00383CE3" w:rsidRPr="003B1ACE">
          <w:rPr>
            <w:rStyle w:val="Lienhypertexte"/>
            <w:noProof/>
          </w:rPr>
          <w:t>6.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Flexibilité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_Toc34049105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3</w:t>
        </w:r>
        <w:r w:rsidR="00383CE3">
          <w:rPr>
            <w:noProof/>
            <w:webHidden/>
          </w:rPr>
          <w:fldChar w:fldCharType="end"/>
        </w:r>
      </w:hyperlink>
    </w:p>
    <w:p w14:paraId="5A5F4F89" w14:textId="4F74663F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06" w:history="1">
        <w:r w:rsidR="00383CE3" w:rsidRPr="003B1ACE">
          <w:rPr>
            <w:rStyle w:val="Lienhypertexte"/>
            <w:noProof/>
          </w:rPr>
          <w:t>7.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Réserves et responsabilités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_Toc34049106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4</w:t>
        </w:r>
        <w:r w:rsidR="00383CE3">
          <w:rPr>
            <w:noProof/>
            <w:webHidden/>
          </w:rPr>
          <w:fldChar w:fldCharType="end"/>
        </w:r>
      </w:hyperlink>
    </w:p>
    <w:p w14:paraId="157B1C67" w14:textId="2B7FB9CC" w:rsidR="00383CE3" w:rsidRDefault="00DC0CEA">
      <w:pPr>
        <w:pStyle w:val="TM3"/>
        <w:rPr>
          <w:rFonts w:asciiTheme="minorHAnsi" w:eastAsiaTheme="minorEastAsia" w:hAnsiTheme="minorHAnsi" w:cstheme="minorBidi"/>
          <w:bCs w:val="0"/>
          <w:iCs w:val="0"/>
          <w:noProof/>
          <w:lang w:val="x-none"/>
        </w:rPr>
      </w:pPr>
      <w:hyperlink w:anchor="_Toc34049107" w:history="1">
        <w:r w:rsidR="00383CE3" w:rsidRPr="003B1ACE">
          <w:rPr>
            <w:rStyle w:val="Lienhypertexte"/>
            <w:noProof/>
          </w:rPr>
          <w:t>7.1.</w:t>
        </w:r>
        <w:r w:rsidR="00383CE3">
          <w:rPr>
            <w:rFonts w:asciiTheme="minorHAnsi" w:eastAsiaTheme="minorEastAsia" w:hAnsiTheme="minorHAnsi" w:cstheme="minorBidi"/>
            <w:bCs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Pour la GIZ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_Toc34049107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4</w:t>
        </w:r>
        <w:r w:rsidR="00383CE3">
          <w:rPr>
            <w:noProof/>
            <w:webHidden/>
          </w:rPr>
          <w:fldChar w:fldCharType="end"/>
        </w:r>
      </w:hyperlink>
    </w:p>
    <w:p w14:paraId="2EFD68E5" w14:textId="64352D47" w:rsidR="00383CE3" w:rsidRDefault="00DC0CEA">
      <w:pPr>
        <w:pStyle w:val="TM3"/>
        <w:rPr>
          <w:rFonts w:asciiTheme="minorHAnsi" w:eastAsiaTheme="minorEastAsia" w:hAnsiTheme="minorHAnsi" w:cstheme="minorBidi"/>
          <w:bCs w:val="0"/>
          <w:iCs w:val="0"/>
          <w:noProof/>
          <w:lang w:val="x-none"/>
        </w:rPr>
      </w:pPr>
      <w:hyperlink w:anchor="_Toc34049108" w:history="1">
        <w:r w:rsidR="00383CE3" w:rsidRPr="003B1ACE">
          <w:rPr>
            <w:rStyle w:val="Lienhypertexte"/>
            <w:noProof/>
          </w:rPr>
          <w:t>7.2.</w:t>
        </w:r>
        <w:r w:rsidR="00383CE3">
          <w:rPr>
            <w:rFonts w:asciiTheme="minorHAnsi" w:eastAsiaTheme="minorEastAsia" w:hAnsiTheme="minorHAnsi" w:cstheme="minorBidi"/>
            <w:bCs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Pour l’agence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_Toc34049108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5</w:t>
        </w:r>
        <w:r w:rsidR="00383CE3">
          <w:rPr>
            <w:noProof/>
            <w:webHidden/>
          </w:rPr>
          <w:fldChar w:fldCharType="end"/>
        </w:r>
      </w:hyperlink>
    </w:p>
    <w:p w14:paraId="4AADEBFD" w14:textId="74683D2C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09" w:history="1">
        <w:r w:rsidR="00383CE3" w:rsidRPr="003B1ACE">
          <w:rPr>
            <w:rStyle w:val="Lienhypertexte"/>
            <w:noProof/>
          </w:rPr>
          <w:t>7.2.1.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Concernant les billets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_Toc34049109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5</w:t>
        </w:r>
        <w:r w:rsidR="00383CE3">
          <w:rPr>
            <w:noProof/>
            <w:webHidden/>
          </w:rPr>
          <w:fldChar w:fldCharType="end"/>
        </w:r>
      </w:hyperlink>
    </w:p>
    <w:p w14:paraId="0D4317BD" w14:textId="37416495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10" w:history="1">
        <w:r w:rsidR="00383CE3" w:rsidRPr="003B1ACE">
          <w:rPr>
            <w:rStyle w:val="Lienhypertexte"/>
            <w:noProof/>
          </w:rPr>
          <w:t>7.2.2.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Suivi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_Toc34049110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6</w:t>
        </w:r>
        <w:r w:rsidR="00383CE3">
          <w:rPr>
            <w:noProof/>
            <w:webHidden/>
          </w:rPr>
          <w:fldChar w:fldCharType="end"/>
        </w:r>
      </w:hyperlink>
    </w:p>
    <w:p w14:paraId="61F2646E" w14:textId="73CD4488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11" w:history="1">
        <w:r w:rsidR="00383CE3" w:rsidRPr="003B1ACE">
          <w:rPr>
            <w:rStyle w:val="Lienhypertexte"/>
            <w:noProof/>
          </w:rPr>
          <w:t>7.2.3.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Préfinancement des billets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_Toc34049111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6</w:t>
        </w:r>
        <w:r w:rsidR="00383CE3">
          <w:rPr>
            <w:noProof/>
            <w:webHidden/>
          </w:rPr>
          <w:fldChar w:fldCharType="end"/>
        </w:r>
      </w:hyperlink>
    </w:p>
    <w:p w14:paraId="2B03C7B3" w14:textId="1CAD0325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12" w:history="1">
        <w:r w:rsidR="00383CE3" w:rsidRPr="003B1ACE">
          <w:rPr>
            <w:rStyle w:val="Lienhypertexte"/>
            <w:noProof/>
          </w:rPr>
          <w:t>7.2.4.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Concernant la communication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_Toc34049112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6</w:t>
        </w:r>
        <w:r w:rsidR="00383CE3">
          <w:rPr>
            <w:noProof/>
            <w:webHidden/>
          </w:rPr>
          <w:fldChar w:fldCharType="end"/>
        </w:r>
      </w:hyperlink>
    </w:p>
    <w:p w14:paraId="4B10DB8B" w14:textId="241572E5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13" w:history="1">
        <w:r w:rsidR="00383CE3" w:rsidRPr="003B1ACE">
          <w:rPr>
            <w:rStyle w:val="Lienhypertexte"/>
            <w:noProof/>
          </w:rPr>
          <w:t>7.2.5.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Rapport et audit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_Toc34049113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7</w:t>
        </w:r>
        <w:r w:rsidR="00383CE3">
          <w:rPr>
            <w:noProof/>
            <w:webHidden/>
          </w:rPr>
          <w:fldChar w:fldCharType="end"/>
        </w:r>
      </w:hyperlink>
    </w:p>
    <w:p w14:paraId="60C34234" w14:textId="3231957D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14" w:history="1">
        <w:r w:rsidR="00383CE3" w:rsidRPr="003B1ACE">
          <w:rPr>
            <w:rStyle w:val="Lienhypertexte"/>
            <w:noProof/>
          </w:rPr>
          <w:t>7.2.6.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Confidentialité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_Toc34049114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7</w:t>
        </w:r>
        <w:r w:rsidR="00383CE3">
          <w:rPr>
            <w:noProof/>
            <w:webHidden/>
          </w:rPr>
          <w:fldChar w:fldCharType="end"/>
        </w:r>
      </w:hyperlink>
    </w:p>
    <w:p w14:paraId="3DCFB582" w14:textId="5004DBD1" w:rsidR="00383CE3" w:rsidRDefault="00DC0CEA">
      <w:pPr>
        <w:pStyle w:val="TM4"/>
        <w:tabs>
          <w:tab w:val="left" w:pos="1540"/>
          <w:tab w:val="right" w:pos="9396"/>
        </w:tabs>
        <w:rPr>
          <w:rFonts w:asciiTheme="minorHAnsi" w:eastAsiaTheme="minorEastAsia" w:hAnsiTheme="minorHAnsi" w:cstheme="minorBidi"/>
          <w:noProof/>
          <w:lang w:val="x-none"/>
        </w:rPr>
      </w:pPr>
      <w:hyperlink w:anchor="_Toc34049115" w:history="1">
        <w:r w:rsidR="00383CE3" w:rsidRPr="003B1ACE">
          <w:rPr>
            <w:rStyle w:val="Lienhypertexte"/>
            <w:noProof/>
          </w:rPr>
          <w:t>7.2.7.</w:t>
        </w:r>
        <w:r w:rsidR="00383CE3">
          <w:rPr>
            <w:rFonts w:asciiTheme="minorHAnsi" w:eastAsiaTheme="minorEastAsia" w:hAnsiTheme="minorHAnsi" w:cstheme="minorBidi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Catastrophes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_Toc34049115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7</w:t>
        </w:r>
        <w:r w:rsidR="00383CE3">
          <w:rPr>
            <w:noProof/>
            <w:webHidden/>
          </w:rPr>
          <w:fldChar w:fldCharType="end"/>
        </w:r>
      </w:hyperlink>
    </w:p>
    <w:p w14:paraId="6473164A" w14:textId="56A6A7EB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16" w:history="1">
        <w:r w:rsidR="00383CE3" w:rsidRPr="003B1ACE">
          <w:rPr>
            <w:rStyle w:val="Lienhypertexte"/>
            <w:noProof/>
          </w:rPr>
          <w:t>9.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Offre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_Toc34049116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9</w:t>
        </w:r>
        <w:r w:rsidR="00383CE3">
          <w:rPr>
            <w:noProof/>
            <w:webHidden/>
          </w:rPr>
          <w:fldChar w:fldCharType="end"/>
        </w:r>
      </w:hyperlink>
    </w:p>
    <w:p w14:paraId="2E2AFB76" w14:textId="4A3AC985" w:rsidR="00383CE3" w:rsidRDefault="00DC0CEA">
      <w:pPr>
        <w:pStyle w:val="TM3"/>
        <w:rPr>
          <w:rFonts w:asciiTheme="minorHAnsi" w:eastAsiaTheme="minorEastAsia" w:hAnsiTheme="minorHAnsi" w:cstheme="minorBidi"/>
          <w:bCs w:val="0"/>
          <w:iCs w:val="0"/>
          <w:noProof/>
          <w:lang w:val="x-none"/>
        </w:rPr>
      </w:pPr>
      <w:hyperlink w:anchor="_Toc34049117" w:history="1">
        <w:r w:rsidR="00383CE3" w:rsidRPr="003B1ACE">
          <w:rPr>
            <w:rStyle w:val="Lienhypertexte"/>
            <w:noProof/>
          </w:rPr>
          <w:t>9.1.</w:t>
        </w:r>
        <w:r w:rsidR="00383CE3">
          <w:rPr>
            <w:rFonts w:asciiTheme="minorHAnsi" w:eastAsiaTheme="minorEastAsia" w:hAnsiTheme="minorHAnsi" w:cstheme="minorBidi"/>
            <w:bCs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L’offre technique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_Toc34049117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9</w:t>
        </w:r>
        <w:r w:rsidR="00383CE3">
          <w:rPr>
            <w:noProof/>
            <w:webHidden/>
          </w:rPr>
          <w:fldChar w:fldCharType="end"/>
        </w:r>
      </w:hyperlink>
    </w:p>
    <w:p w14:paraId="41FDAAE5" w14:textId="7A719B1A" w:rsidR="00383CE3" w:rsidRDefault="00DC0CEA">
      <w:pPr>
        <w:pStyle w:val="TM3"/>
        <w:rPr>
          <w:rFonts w:asciiTheme="minorHAnsi" w:eastAsiaTheme="minorEastAsia" w:hAnsiTheme="minorHAnsi" w:cstheme="minorBidi"/>
          <w:bCs w:val="0"/>
          <w:iCs w:val="0"/>
          <w:noProof/>
          <w:lang w:val="x-none"/>
        </w:rPr>
      </w:pPr>
      <w:hyperlink w:anchor="_Toc34049118" w:history="1">
        <w:r w:rsidR="00383CE3" w:rsidRPr="003B1ACE">
          <w:rPr>
            <w:rStyle w:val="Lienhypertexte"/>
            <w:noProof/>
          </w:rPr>
          <w:t>9.2.</w:t>
        </w:r>
        <w:r w:rsidR="00383CE3">
          <w:rPr>
            <w:rFonts w:asciiTheme="minorHAnsi" w:eastAsiaTheme="minorEastAsia" w:hAnsiTheme="minorHAnsi" w:cstheme="minorBidi"/>
            <w:bCs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L’offre financière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_Toc34049118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10</w:t>
        </w:r>
        <w:r w:rsidR="00383CE3">
          <w:rPr>
            <w:noProof/>
            <w:webHidden/>
          </w:rPr>
          <w:fldChar w:fldCharType="end"/>
        </w:r>
      </w:hyperlink>
    </w:p>
    <w:p w14:paraId="3B91E28B" w14:textId="1B83A3A3" w:rsidR="00383CE3" w:rsidRDefault="00DC0CEA">
      <w:pPr>
        <w:pStyle w:val="TM3"/>
        <w:rPr>
          <w:rFonts w:asciiTheme="minorHAnsi" w:eastAsiaTheme="minorEastAsia" w:hAnsiTheme="minorHAnsi" w:cstheme="minorBidi"/>
          <w:bCs w:val="0"/>
          <w:iCs w:val="0"/>
          <w:noProof/>
          <w:lang w:val="x-none"/>
        </w:rPr>
      </w:pPr>
      <w:hyperlink w:anchor="_Toc34049119" w:history="1">
        <w:r w:rsidR="00383CE3" w:rsidRPr="003B1ACE">
          <w:rPr>
            <w:rStyle w:val="Lienhypertexte"/>
            <w:noProof/>
          </w:rPr>
          <w:t>9.3.</w:t>
        </w:r>
        <w:r w:rsidR="00383CE3">
          <w:rPr>
            <w:rFonts w:asciiTheme="minorHAnsi" w:eastAsiaTheme="minorEastAsia" w:hAnsiTheme="minorHAnsi" w:cstheme="minorBidi"/>
            <w:bCs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Evaluation des offres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_Toc34049119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10</w:t>
        </w:r>
        <w:r w:rsidR="00383CE3">
          <w:rPr>
            <w:noProof/>
            <w:webHidden/>
          </w:rPr>
          <w:fldChar w:fldCharType="end"/>
        </w:r>
      </w:hyperlink>
    </w:p>
    <w:p w14:paraId="66ACAFAF" w14:textId="610A737D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20" w:history="1">
        <w:r w:rsidR="00383CE3" w:rsidRPr="003B1ACE">
          <w:rPr>
            <w:rStyle w:val="Lienhypertexte"/>
            <w:noProof/>
          </w:rPr>
          <w:t>10.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Attribution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_Toc34049120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11</w:t>
        </w:r>
        <w:r w:rsidR="00383CE3">
          <w:rPr>
            <w:noProof/>
            <w:webHidden/>
          </w:rPr>
          <w:fldChar w:fldCharType="end"/>
        </w:r>
      </w:hyperlink>
    </w:p>
    <w:p w14:paraId="09DCA777" w14:textId="5D2FF93F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21" w:history="1">
        <w:r w:rsidR="00383CE3" w:rsidRPr="003B1ACE">
          <w:rPr>
            <w:rStyle w:val="Lienhypertexte"/>
            <w:noProof/>
          </w:rPr>
          <w:t>12.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Modalités de paiement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_Toc34049121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11</w:t>
        </w:r>
        <w:r w:rsidR="00383CE3">
          <w:rPr>
            <w:noProof/>
            <w:webHidden/>
          </w:rPr>
          <w:fldChar w:fldCharType="end"/>
        </w:r>
      </w:hyperlink>
    </w:p>
    <w:p w14:paraId="7111405E" w14:textId="1DBD143F" w:rsidR="00383CE3" w:rsidRDefault="00DC0CEA">
      <w:pPr>
        <w:pStyle w:val="TM2"/>
        <w:rPr>
          <w:rFonts w:asciiTheme="minorHAnsi" w:eastAsiaTheme="minorEastAsia" w:hAnsiTheme="minorHAnsi" w:cstheme="minorBidi"/>
          <w:b w:val="0"/>
          <w:iCs w:val="0"/>
          <w:noProof/>
          <w:lang w:val="x-none"/>
        </w:rPr>
      </w:pPr>
      <w:hyperlink w:anchor="_Toc34049122" w:history="1">
        <w:r w:rsidR="00383CE3" w:rsidRPr="003B1ACE">
          <w:rPr>
            <w:rStyle w:val="Lienhypertexte"/>
            <w:noProof/>
          </w:rPr>
          <w:t>13.</w:t>
        </w:r>
        <w:r w:rsidR="00383CE3">
          <w:rPr>
            <w:rFonts w:asciiTheme="minorHAnsi" w:eastAsiaTheme="minorEastAsia" w:hAnsiTheme="minorHAnsi" w:cstheme="minorBidi"/>
            <w:b w:val="0"/>
            <w:iCs w:val="0"/>
            <w:noProof/>
            <w:lang w:val="x-none"/>
          </w:rPr>
          <w:tab/>
        </w:r>
        <w:r w:rsidR="00383CE3" w:rsidRPr="003B1ACE">
          <w:rPr>
            <w:rStyle w:val="Lienhypertexte"/>
            <w:noProof/>
          </w:rPr>
          <w:t>Annexes</w:t>
        </w:r>
        <w:r w:rsidR="00383CE3">
          <w:rPr>
            <w:noProof/>
            <w:webHidden/>
          </w:rPr>
          <w:tab/>
        </w:r>
        <w:r w:rsidR="00383CE3">
          <w:rPr>
            <w:noProof/>
            <w:webHidden/>
          </w:rPr>
          <w:fldChar w:fldCharType="begin"/>
        </w:r>
        <w:r w:rsidR="00383CE3">
          <w:rPr>
            <w:noProof/>
            <w:webHidden/>
          </w:rPr>
          <w:instrText xml:space="preserve"> PAGEREF _Toc34049122 \h </w:instrText>
        </w:r>
        <w:r w:rsidR="00383CE3">
          <w:rPr>
            <w:noProof/>
            <w:webHidden/>
          </w:rPr>
        </w:r>
        <w:r w:rsidR="00383CE3">
          <w:rPr>
            <w:noProof/>
            <w:webHidden/>
          </w:rPr>
          <w:fldChar w:fldCharType="separate"/>
        </w:r>
        <w:r w:rsidR="00794640">
          <w:rPr>
            <w:noProof/>
            <w:webHidden/>
          </w:rPr>
          <w:t>12</w:t>
        </w:r>
        <w:r w:rsidR="00383CE3">
          <w:rPr>
            <w:noProof/>
            <w:webHidden/>
          </w:rPr>
          <w:fldChar w:fldCharType="end"/>
        </w:r>
      </w:hyperlink>
    </w:p>
    <w:p w14:paraId="28D2BEAF" w14:textId="0C7ED51C" w:rsidR="00BE218E" w:rsidRDefault="002673ED" w:rsidP="001A5117">
      <w:pPr>
        <w:spacing w:after="0"/>
        <w:jc w:val="both"/>
        <w:rPr>
          <w:b/>
          <w:iCs/>
        </w:rPr>
      </w:pPr>
      <w:r>
        <w:rPr>
          <w:b/>
          <w:iCs/>
        </w:rPr>
        <w:fldChar w:fldCharType="end"/>
      </w:r>
    </w:p>
    <w:p w14:paraId="78C24D3D" w14:textId="3CF3A2A0" w:rsidR="008F6A08" w:rsidRDefault="008F6A08" w:rsidP="001A5117">
      <w:pPr>
        <w:spacing w:after="0"/>
        <w:jc w:val="both"/>
        <w:rPr>
          <w:b/>
          <w:iCs/>
        </w:rPr>
      </w:pPr>
    </w:p>
    <w:p w14:paraId="69B2A499" w14:textId="58E57014" w:rsidR="008F6A08" w:rsidRDefault="008F6A08" w:rsidP="001A5117">
      <w:pPr>
        <w:spacing w:after="0"/>
        <w:jc w:val="both"/>
        <w:rPr>
          <w:b/>
          <w:iCs/>
        </w:rPr>
      </w:pPr>
    </w:p>
    <w:p w14:paraId="75098D39" w14:textId="77777777" w:rsidR="008F6A08" w:rsidRDefault="008F6A08" w:rsidP="001A5117">
      <w:pPr>
        <w:spacing w:after="0"/>
        <w:jc w:val="both"/>
      </w:pPr>
    </w:p>
    <w:p w14:paraId="277F6FFB" w14:textId="1509A2D1" w:rsidR="00BE218E" w:rsidRDefault="00FC7A19" w:rsidP="008F6A08">
      <w:pPr>
        <w:spacing w:after="0" w:line="240" w:lineRule="auto"/>
        <w:jc w:val="both"/>
      </w:pPr>
      <w:r w:rsidRPr="00FC7A19">
        <w:rPr>
          <w:b/>
        </w:rPr>
        <w:lastRenderedPageBreak/>
        <w:t>Note :</w:t>
      </w:r>
      <w:r>
        <w:t xml:space="preserve"> Pour des raisons de lecture, tous les termes dans le présent terme de références (TdR) sont utilisés indifféremment au masculin ou au féminin pour désigner les deux sexes.</w:t>
      </w:r>
    </w:p>
    <w:p w14:paraId="2DB7EAA4" w14:textId="77777777" w:rsidR="00686297" w:rsidRDefault="00686297" w:rsidP="008F6A08">
      <w:pPr>
        <w:spacing w:after="0" w:line="240" w:lineRule="auto"/>
        <w:jc w:val="both"/>
      </w:pPr>
    </w:p>
    <w:p w14:paraId="06F5B4BB" w14:textId="132A9351" w:rsidR="008F6A08" w:rsidRDefault="008F6A08" w:rsidP="008F6A08">
      <w:pPr>
        <w:spacing w:after="0" w:line="240" w:lineRule="auto"/>
        <w:jc w:val="both"/>
      </w:pPr>
    </w:p>
    <w:p w14:paraId="0C725628" w14:textId="5CA3AB5B" w:rsidR="00BE218E" w:rsidRDefault="00BE218E" w:rsidP="00686297">
      <w:pPr>
        <w:pStyle w:val="Sansinterligne"/>
      </w:pPr>
      <w:bookmarkStart w:id="1" w:name="_Toc6341568"/>
      <w:bookmarkStart w:id="2" w:name="_Toc33546611"/>
      <w:bookmarkStart w:id="3" w:name="_Toc34049100"/>
      <w:r w:rsidRPr="0091201D">
        <w:t>Contexte et justification de l’activité</w:t>
      </w:r>
      <w:bookmarkEnd w:id="1"/>
      <w:bookmarkEnd w:id="2"/>
      <w:bookmarkEnd w:id="3"/>
    </w:p>
    <w:p w14:paraId="0DF1BC45" w14:textId="77777777" w:rsidR="00FA7286" w:rsidRPr="00FA7286" w:rsidRDefault="00FA7286" w:rsidP="008F6A08">
      <w:pPr>
        <w:spacing w:after="0" w:line="240" w:lineRule="auto"/>
      </w:pPr>
    </w:p>
    <w:p w14:paraId="347671B0" w14:textId="36431E9D" w:rsidR="006A131E" w:rsidRDefault="00BE218E" w:rsidP="008F6A08">
      <w:pPr>
        <w:spacing w:after="0" w:line="240" w:lineRule="auto"/>
        <w:jc w:val="both"/>
      </w:pPr>
      <w:r w:rsidRPr="007006E0">
        <w:t xml:space="preserve">La GIZ a pour objectif principal </w:t>
      </w:r>
      <w:r>
        <w:t>d</w:t>
      </w:r>
      <w:r w:rsidRPr="007006E0">
        <w:t xml:space="preserve">’améliorer durablement les conditions de vie des populations dans les pays de coopération. </w:t>
      </w:r>
      <w:r w:rsidR="00383CE3">
        <w:t>Tenant compte de la croissance de ses activités, et d</w:t>
      </w:r>
      <w:r w:rsidR="00081080">
        <w:t>ans le souci de mieux répondre aux sollicitations des projets dans leur mise en œuvre</w:t>
      </w:r>
      <w:r w:rsidR="00383CE3">
        <w:t xml:space="preserve">, </w:t>
      </w:r>
      <w:r>
        <w:t xml:space="preserve">le bureau </w:t>
      </w:r>
      <w:r w:rsidR="006A131E">
        <w:t xml:space="preserve">de la GIZ </w:t>
      </w:r>
      <w:r w:rsidR="007C05F1">
        <w:t>Niger</w:t>
      </w:r>
      <w:r w:rsidR="006A131E">
        <w:t xml:space="preserve"> </w:t>
      </w:r>
      <w:r w:rsidR="00204C26">
        <w:t>veut</w:t>
      </w:r>
      <w:r>
        <w:t xml:space="preserve"> mettre en œuvre quelques </w:t>
      </w:r>
      <w:r w:rsidR="00B77459">
        <w:t>accords-cadres</w:t>
      </w:r>
      <w:r>
        <w:t xml:space="preserve"> notamment </w:t>
      </w:r>
      <w:r w:rsidR="00B77459">
        <w:t xml:space="preserve">pour des prestations </w:t>
      </w:r>
      <w:r w:rsidR="006A131E">
        <w:t>d’</w:t>
      </w:r>
      <w:r w:rsidR="00383CE3">
        <w:t xml:space="preserve">achat de billets </w:t>
      </w:r>
      <w:r w:rsidR="006A131E">
        <w:t>d’avion.</w:t>
      </w:r>
    </w:p>
    <w:p w14:paraId="10704F70" w14:textId="0AEC2E09" w:rsidR="00BE218E" w:rsidRDefault="00BE218E" w:rsidP="008F6A08">
      <w:pPr>
        <w:spacing w:after="0" w:line="240" w:lineRule="auto"/>
        <w:jc w:val="both"/>
      </w:pPr>
    </w:p>
    <w:p w14:paraId="3FA42952" w14:textId="0F4291BB" w:rsidR="00BE218E" w:rsidRDefault="00BB038B" w:rsidP="00686297">
      <w:pPr>
        <w:pStyle w:val="Sansinterligne"/>
      </w:pPr>
      <w:bookmarkStart w:id="4" w:name="_Toc33546612"/>
      <w:bookmarkStart w:id="5" w:name="_Toc34049101"/>
      <w:r w:rsidRPr="007006E0">
        <w:t>Objectif</w:t>
      </w:r>
      <w:r w:rsidR="00D21C91">
        <w:t>s</w:t>
      </w:r>
      <w:bookmarkEnd w:id="4"/>
      <w:bookmarkEnd w:id="5"/>
    </w:p>
    <w:p w14:paraId="07DD7267" w14:textId="77777777" w:rsidR="00204C26" w:rsidRPr="00204C26" w:rsidRDefault="00204C26" w:rsidP="008F6A08">
      <w:pPr>
        <w:spacing w:after="0" w:line="240" w:lineRule="auto"/>
      </w:pPr>
    </w:p>
    <w:p w14:paraId="26CAA305" w14:textId="1443DFC4" w:rsidR="00505DBC" w:rsidRDefault="00BE218E" w:rsidP="008F6A08">
      <w:pPr>
        <w:spacing w:after="0" w:line="240" w:lineRule="auto"/>
        <w:jc w:val="both"/>
      </w:pPr>
      <w:bookmarkStart w:id="6" w:name="_Hlk5956547"/>
      <w:r>
        <w:t xml:space="preserve">Il s’agit de </w:t>
      </w:r>
      <w:r w:rsidR="00F2041E">
        <w:t xml:space="preserve">contracter avec </w:t>
      </w:r>
      <w:r w:rsidR="00D21C91">
        <w:t>une agence</w:t>
      </w:r>
      <w:r w:rsidR="005C225C">
        <w:t xml:space="preserve"> de voyage</w:t>
      </w:r>
      <w:r w:rsidR="00D21C91">
        <w:t xml:space="preserve"> pour </w:t>
      </w:r>
      <w:r w:rsidR="00F2041E">
        <w:t>l’achat de</w:t>
      </w:r>
      <w:r w:rsidR="006A131E">
        <w:t xml:space="preserve"> billet</w:t>
      </w:r>
      <w:r w:rsidR="00383CE3">
        <w:t>s</w:t>
      </w:r>
      <w:r w:rsidR="006A131E">
        <w:t xml:space="preserve"> d’avion </w:t>
      </w:r>
      <w:r w:rsidR="00081080">
        <w:t xml:space="preserve">à l’endroit </w:t>
      </w:r>
      <w:r w:rsidR="00D21C91">
        <w:t>des collaborateurs</w:t>
      </w:r>
      <w:r w:rsidR="00383CE3">
        <w:t>, d</w:t>
      </w:r>
      <w:r w:rsidR="00505DBC">
        <w:t xml:space="preserve">es </w:t>
      </w:r>
      <w:r w:rsidR="00D21C91">
        <w:t>consultants</w:t>
      </w:r>
      <w:r w:rsidR="00383CE3">
        <w:t>, d</w:t>
      </w:r>
      <w:r w:rsidR="00505DBC">
        <w:t xml:space="preserve">es représentants du gouvernement et des personnes en mission officielle pour </w:t>
      </w:r>
      <w:r w:rsidR="00BB038B">
        <w:t xml:space="preserve">la </w:t>
      </w:r>
      <w:r>
        <w:t>coopérat</w:t>
      </w:r>
      <w:r w:rsidR="005C225C">
        <w:t>ion technique allemande</w:t>
      </w:r>
      <w:r w:rsidR="00505DBC">
        <w:t xml:space="preserve"> au </w:t>
      </w:r>
      <w:r w:rsidR="007E08FE">
        <w:t>Niger</w:t>
      </w:r>
      <w:r w:rsidR="00505DBC">
        <w:t>.</w:t>
      </w:r>
    </w:p>
    <w:p w14:paraId="4E241969" w14:textId="476976F5" w:rsidR="005C225C" w:rsidRDefault="005C225C" w:rsidP="008F6A08">
      <w:pPr>
        <w:spacing w:after="0" w:line="240" w:lineRule="auto"/>
        <w:jc w:val="both"/>
      </w:pPr>
    </w:p>
    <w:p w14:paraId="7F7C703C" w14:textId="7AC9CC2F" w:rsidR="005C225C" w:rsidRDefault="002116C9" w:rsidP="00686297">
      <w:pPr>
        <w:pStyle w:val="Sansinterligne"/>
      </w:pPr>
      <w:bookmarkStart w:id="7" w:name="_Toc33546613"/>
      <w:bookmarkStart w:id="8" w:name="_Toc34049102"/>
      <w:r>
        <w:t>Objectifs spécifiques</w:t>
      </w:r>
      <w:bookmarkEnd w:id="7"/>
      <w:bookmarkEnd w:id="8"/>
    </w:p>
    <w:p w14:paraId="2AAB2CE6" w14:textId="77777777" w:rsidR="008B1CC8" w:rsidRPr="008B1CC8" w:rsidRDefault="008B1CC8" w:rsidP="008F6A08">
      <w:pPr>
        <w:spacing w:after="0" w:line="240" w:lineRule="auto"/>
      </w:pPr>
    </w:p>
    <w:p w14:paraId="5B9C14FB" w14:textId="66C08A95" w:rsidR="00505DBC" w:rsidRDefault="002116C9" w:rsidP="008F6A08">
      <w:pPr>
        <w:spacing w:after="0" w:line="240" w:lineRule="auto"/>
        <w:jc w:val="both"/>
      </w:pPr>
      <w:r w:rsidRPr="002116C9">
        <w:t>L</w:t>
      </w:r>
      <w:r w:rsidR="005C225C" w:rsidRPr="002116C9">
        <w:t xml:space="preserve">'agence est </w:t>
      </w:r>
      <w:r w:rsidRPr="002116C9">
        <w:t>chargée</w:t>
      </w:r>
      <w:r w:rsidR="005C225C" w:rsidRPr="002116C9">
        <w:t xml:space="preserve"> </w:t>
      </w:r>
      <w:r w:rsidR="00081080">
        <w:t>d’informer le</w:t>
      </w:r>
      <w:r w:rsidR="007C4280">
        <w:t xml:space="preserve"> (la)</w:t>
      </w:r>
      <w:r w:rsidR="00081080">
        <w:t xml:space="preserve"> chargé</w:t>
      </w:r>
      <w:r w:rsidR="007C4280">
        <w:t xml:space="preserve"> (e)</w:t>
      </w:r>
      <w:r w:rsidR="00081080">
        <w:t xml:space="preserve"> des missions de la GIZ sur</w:t>
      </w:r>
      <w:r w:rsidR="008B1CC8">
        <w:t> :</w:t>
      </w:r>
    </w:p>
    <w:p w14:paraId="31D5942A" w14:textId="77777777" w:rsidR="008B1CC8" w:rsidRDefault="008B1CC8" w:rsidP="008F6A08">
      <w:pPr>
        <w:spacing w:after="0" w:line="240" w:lineRule="auto"/>
        <w:jc w:val="both"/>
      </w:pPr>
    </w:p>
    <w:p w14:paraId="0A4C1831" w14:textId="323D49AF" w:rsidR="002116C9" w:rsidRDefault="00081080" w:rsidP="003E4C04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Les</w:t>
      </w:r>
      <w:r w:rsidR="005C225C" w:rsidRPr="002116C9">
        <w:t xml:space="preserve"> solution</w:t>
      </w:r>
      <w:r w:rsidR="00156774">
        <w:t xml:space="preserve">s </w:t>
      </w:r>
      <w:r w:rsidR="005C225C" w:rsidRPr="002116C9">
        <w:t>avantageuse</w:t>
      </w:r>
      <w:r w:rsidR="00156774">
        <w:t>s</w:t>
      </w:r>
      <w:r w:rsidR="005C225C" w:rsidRPr="002116C9">
        <w:t xml:space="preserve"> du point de vue coût </w:t>
      </w:r>
      <w:r w:rsidR="002116C9" w:rsidRPr="002116C9">
        <w:t>et fiabilité des compagnies</w:t>
      </w:r>
      <w:r w:rsidR="002116C9">
        <w:t xml:space="preserve"> aériennes</w:t>
      </w:r>
      <w:r w:rsidR="00A33930">
        <w:t>.</w:t>
      </w:r>
    </w:p>
    <w:p w14:paraId="1F59EA12" w14:textId="77777777" w:rsidR="00383CE3" w:rsidRDefault="00081080" w:rsidP="003E4C04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Les exigences en matière de visa pour la </w:t>
      </w:r>
      <w:r w:rsidR="00383CE3">
        <w:t xml:space="preserve">ou les </w:t>
      </w:r>
      <w:r>
        <w:t>destination</w:t>
      </w:r>
      <w:r w:rsidR="00383CE3">
        <w:t>s demandées</w:t>
      </w:r>
      <w:r>
        <w:t>, y compris les escales le cas échéant</w:t>
      </w:r>
      <w:r w:rsidR="006A131E">
        <w:t>.</w:t>
      </w:r>
      <w:r>
        <w:t> </w:t>
      </w:r>
    </w:p>
    <w:p w14:paraId="320160BA" w14:textId="52DF1916" w:rsidR="00081080" w:rsidRDefault="006E781D" w:rsidP="003E4C04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Les informations pertinentes et nécessaires pris en compte par les achats de billets remboursables ou non remboursables</w:t>
      </w:r>
      <w:r w:rsidR="006A131E">
        <w:t>.</w:t>
      </w:r>
    </w:p>
    <w:p w14:paraId="26797400" w14:textId="697B6ED8" w:rsidR="002116C9" w:rsidRDefault="002116C9" w:rsidP="008F6A08">
      <w:pPr>
        <w:spacing w:after="0" w:line="240" w:lineRule="auto"/>
      </w:pPr>
    </w:p>
    <w:p w14:paraId="6D715360" w14:textId="54407974" w:rsidR="00BE218E" w:rsidRDefault="005C225C" w:rsidP="00686297">
      <w:pPr>
        <w:pStyle w:val="Sansinterligne"/>
      </w:pPr>
      <w:bookmarkStart w:id="9" w:name="_Toc33546614"/>
      <w:bookmarkStart w:id="10" w:name="_Toc34049103"/>
      <w:r w:rsidRPr="005C225C">
        <w:t xml:space="preserve">Sécurité aérienne </w:t>
      </w:r>
      <w:r w:rsidR="00C40839">
        <w:t xml:space="preserve">et </w:t>
      </w:r>
      <w:r w:rsidRPr="005C225C">
        <w:t>choix des compagnies aériennes</w:t>
      </w:r>
      <w:bookmarkEnd w:id="9"/>
      <w:bookmarkEnd w:id="10"/>
    </w:p>
    <w:p w14:paraId="48804B94" w14:textId="77777777" w:rsidR="00763B33" w:rsidRPr="00763B33" w:rsidRDefault="00763B33" w:rsidP="008F6A08">
      <w:pPr>
        <w:spacing w:after="0" w:line="240" w:lineRule="auto"/>
      </w:pPr>
    </w:p>
    <w:p w14:paraId="0222290A" w14:textId="6E95F3D7" w:rsidR="005C225C" w:rsidRDefault="00D97B1F" w:rsidP="008F6A08">
      <w:pPr>
        <w:spacing w:after="0" w:line="240" w:lineRule="auto"/>
        <w:jc w:val="both"/>
      </w:pPr>
      <w:r>
        <w:t xml:space="preserve">En règle générale, les compagnies aériennes sont évaluées sur le plan sécuritaire et classées suivant l’une des catégories suivantes par le siège de la GIZ en </w:t>
      </w:r>
      <w:r w:rsidR="004F5912">
        <w:t>Allemagne :</w:t>
      </w:r>
    </w:p>
    <w:p w14:paraId="0C513798" w14:textId="77777777" w:rsidR="00763B33" w:rsidRDefault="00763B33" w:rsidP="008F6A08">
      <w:pPr>
        <w:spacing w:after="0" w:line="240" w:lineRule="auto"/>
        <w:jc w:val="both"/>
      </w:pPr>
    </w:p>
    <w:p w14:paraId="5F60430D" w14:textId="1DAD84C7" w:rsidR="005C225C" w:rsidRPr="00763B33" w:rsidRDefault="005C225C" w:rsidP="003E4C0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63B33">
        <w:rPr>
          <w:b/>
          <w:bCs/>
        </w:rPr>
        <w:t>Groupe A</w:t>
      </w:r>
      <w:r w:rsidR="002116C9" w:rsidRPr="00763B33">
        <w:rPr>
          <w:b/>
          <w:bCs/>
        </w:rPr>
        <w:t xml:space="preserve"> : </w:t>
      </w:r>
      <w:r w:rsidR="00C40839" w:rsidRPr="00763B33">
        <w:rPr>
          <w:b/>
          <w:bCs/>
        </w:rPr>
        <w:t>Fiable</w:t>
      </w:r>
      <w:r w:rsidRPr="00763B33">
        <w:rPr>
          <w:b/>
          <w:bCs/>
        </w:rPr>
        <w:t xml:space="preserve"> </w:t>
      </w:r>
    </w:p>
    <w:p w14:paraId="0AF944C2" w14:textId="4F2D73B8" w:rsidR="005C225C" w:rsidRPr="00763B33" w:rsidRDefault="005C225C" w:rsidP="003E4C0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63B33">
        <w:rPr>
          <w:b/>
          <w:bCs/>
        </w:rPr>
        <w:t>Groupe B</w:t>
      </w:r>
      <w:r w:rsidR="002116C9" w:rsidRPr="00763B33">
        <w:rPr>
          <w:b/>
          <w:bCs/>
        </w:rPr>
        <w:t xml:space="preserve"> </w:t>
      </w:r>
      <w:r w:rsidRPr="00763B33">
        <w:rPr>
          <w:b/>
          <w:bCs/>
        </w:rPr>
        <w:t>: Niveau correct</w:t>
      </w:r>
    </w:p>
    <w:p w14:paraId="17CF83B2" w14:textId="57DC7621" w:rsidR="005C225C" w:rsidRPr="00763B33" w:rsidRDefault="005C225C" w:rsidP="003E4C0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63B33">
        <w:rPr>
          <w:b/>
          <w:bCs/>
        </w:rPr>
        <w:t>Groupe C</w:t>
      </w:r>
      <w:r w:rsidR="002116C9" w:rsidRPr="00763B33">
        <w:rPr>
          <w:b/>
          <w:bCs/>
        </w:rPr>
        <w:t xml:space="preserve"> : Sous réserve</w:t>
      </w:r>
    </w:p>
    <w:p w14:paraId="0D8038EA" w14:textId="7A076A70" w:rsidR="005C225C" w:rsidRDefault="005C225C" w:rsidP="003E4C0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63B33">
        <w:rPr>
          <w:b/>
          <w:bCs/>
        </w:rPr>
        <w:t>Groupe D</w:t>
      </w:r>
      <w:r w:rsidR="002116C9" w:rsidRPr="00763B33">
        <w:rPr>
          <w:b/>
          <w:bCs/>
        </w:rPr>
        <w:t xml:space="preserve"> : </w:t>
      </w:r>
      <w:r w:rsidRPr="00763B33">
        <w:rPr>
          <w:b/>
          <w:bCs/>
        </w:rPr>
        <w:t xml:space="preserve"> </w:t>
      </w:r>
      <w:r w:rsidR="002116C9" w:rsidRPr="00763B33">
        <w:rPr>
          <w:b/>
          <w:bCs/>
        </w:rPr>
        <w:t>A éviter</w:t>
      </w:r>
    </w:p>
    <w:p w14:paraId="098B4AD2" w14:textId="77777777" w:rsidR="00763B33" w:rsidRPr="00763B33" w:rsidRDefault="00763B33" w:rsidP="008F6A08">
      <w:pPr>
        <w:pStyle w:val="Paragraphedeliste"/>
        <w:spacing w:after="0" w:line="240" w:lineRule="auto"/>
        <w:ind w:left="0"/>
        <w:jc w:val="both"/>
        <w:rPr>
          <w:b/>
          <w:bCs/>
        </w:rPr>
      </w:pPr>
    </w:p>
    <w:p w14:paraId="52608FC2" w14:textId="57341840" w:rsidR="00156774" w:rsidRDefault="005C225C" w:rsidP="008F6A08">
      <w:pPr>
        <w:spacing w:after="0" w:line="240" w:lineRule="auto"/>
        <w:jc w:val="both"/>
      </w:pPr>
      <w:r>
        <w:t xml:space="preserve">L’agence </w:t>
      </w:r>
      <w:r w:rsidR="004641D3">
        <w:t xml:space="preserve">se tient informer trimestriellement du classement officiel des compagnies aériennes par la GIZ selon leur fiabilité en matière de sécurité auprès de la/du chargé(e) </w:t>
      </w:r>
      <w:r w:rsidR="00704B56">
        <w:t>d’achat de billet de la GIZ. L’agence veille scrupuleusement à ce que les vols ne soient pas réservés auprès de</w:t>
      </w:r>
      <w:r w:rsidR="00FB155A">
        <w:t>s</w:t>
      </w:r>
      <w:r w:rsidR="00704B56">
        <w:t xml:space="preserve"> compagnies aériennes classées</w:t>
      </w:r>
      <w:r w:rsidR="00FB155A">
        <w:t xml:space="preserve"> en catégories C ou D, sauf autorisation écrite de la GIZ. </w:t>
      </w:r>
      <w:r w:rsidR="00704B56">
        <w:t xml:space="preserve"> </w:t>
      </w:r>
      <w:r w:rsidR="00337A0B">
        <w:t>T</w:t>
      </w:r>
      <w:r w:rsidR="00156774">
        <w:t>ous les bille</w:t>
      </w:r>
      <w:r w:rsidR="00A34CA7">
        <w:t>t</w:t>
      </w:r>
      <w:r w:rsidR="00156774">
        <w:t xml:space="preserve">s émis sont </w:t>
      </w:r>
      <w:r w:rsidR="006A131E">
        <w:t>agréés par l’</w:t>
      </w:r>
      <w:r w:rsidR="00F21E53">
        <w:t>A</w:t>
      </w:r>
      <w:r w:rsidR="00156774" w:rsidRPr="00D41596">
        <w:t xml:space="preserve">ssociation du </w:t>
      </w:r>
      <w:r w:rsidR="00F21E53">
        <w:t>T</w:t>
      </w:r>
      <w:r w:rsidR="00156774" w:rsidRPr="00D41596">
        <w:t>ransport</w:t>
      </w:r>
      <w:r w:rsidR="00F21E53">
        <w:t> A</w:t>
      </w:r>
      <w:r w:rsidR="00156774" w:rsidRPr="00D41596">
        <w:t xml:space="preserve">érien </w:t>
      </w:r>
      <w:r w:rsidR="00F21E53">
        <w:t>I</w:t>
      </w:r>
      <w:r w:rsidR="00156774" w:rsidRPr="00D41596">
        <w:t>nternational (« IATA »)</w:t>
      </w:r>
      <w:r w:rsidR="00127243">
        <w:t>.</w:t>
      </w:r>
    </w:p>
    <w:p w14:paraId="55014451" w14:textId="14514445" w:rsidR="00383CE3" w:rsidRDefault="00383CE3" w:rsidP="008F6A08">
      <w:pPr>
        <w:spacing w:after="0" w:line="240" w:lineRule="auto"/>
        <w:jc w:val="both"/>
      </w:pPr>
    </w:p>
    <w:p w14:paraId="583FD9F9" w14:textId="194A405B" w:rsidR="00F21E53" w:rsidRDefault="001B1B8A" w:rsidP="000C08D3">
      <w:pPr>
        <w:pStyle w:val="Sansinterligne"/>
        <w:spacing w:line="240" w:lineRule="auto"/>
      </w:pPr>
      <w:bookmarkStart w:id="11" w:name="_Toc34049104"/>
      <w:r>
        <w:t>Méthode de travail</w:t>
      </w:r>
      <w:bookmarkEnd w:id="11"/>
      <w:r w:rsidR="0072464E">
        <w:t xml:space="preserve"> </w:t>
      </w:r>
    </w:p>
    <w:p w14:paraId="509390EA" w14:textId="77777777" w:rsidR="005C10E3" w:rsidRPr="00F21E53" w:rsidRDefault="005C10E3" w:rsidP="005C10E3">
      <w:pPr>
        <w:pStyle w:val="Sansinterligne"/>
        <w:numPr>
          <w:ilvl w:val="0"/>
          <w:numId w:val="0"/>
        </w:numPr>
        <w:spacing w:line="240" w:lineRule="auto"/>
        <w:ind w:left="720"/>
      </w:pPr>
    </w:p>
    <w:p w14:paraId="1A18A52D" w14:textId="77777777" w:rsidR="00144EBE" w:rsidRPr="000C08D3" w:rsidRDefault="001B1B8A" w:rsidP="00516033">
      <w:pPr>
        <w:pStyle w:val="Titre3"/>
        <w:spacing w:line="240" w:lineRule="auto"/>
        <w:rPr>
          <w:b w:val="0"/>
          <w:bCs w:val="0"/>
        </w:rPr>
      </w:pPr>
      <w:r w:rsidRPr="000C08D3">
        <w:rPr>
          <w:b w:val="0"/>
          <w:bCs w:val="0"/>
        </w:rPr>
        <w:t>La GIZ fait une</w:t>
      </w:r>
      <w:r w:rsidR="00383CE3" w:rsidRPr="000C08D3">
        <w:rPr>
          <w:b w:val="0"/>
          <w:bCs w:val="0"/>
        </w:rPr>
        <w:t xml:space="preserve"> ou des</w:t>
      </w:r>
      <w:r w:rsidRPr="000C08D3">
        <w:rPr>
          <w:b w:val="0"/>
          <w:bCs w:val="0"/>
        </w:rPr>
        <w:t xml:space="preserve"> demande</w:t>
      </w:r>
      <w:r w:rsidR="00383CE3" w:rsidRPr="000C08D3">
        <w:rPr>
          <w:b w:val="0"/>
          <w:bCs w:val="0"/>
        </w:rPr>
        <w:t>s</w:t>
      </w:r>
      <w:r w:rsidRPr="000C08D3">
        <w:rPr>
          <w:b w:val="0"/>
          <w:bCs w:val="0"/>
        </w:rPr>
        <w:t xml:space="preserve"> de réservation par mail</w:t>
      </w:r>
      <w:r w:rsidR="00383CE3" w:rsidRPr="000C08D3">
        <w:rPr>
          <w:b w:val="0"/>
          <w:bCs w:val="0"/>
        </w:rPr>
        <w:t>,</w:t>
      </w:r>
      <w:r w:rsidRPr="000C08D3">
        <w:rPr>
          <w:b w:val="0"/>
          <w:bCs w:val="0"/>
        </w:rPr>
        <w:t xml:space="preserve"> </w:t>
      </w:r>
      <w:r w:rsidR="00AE318F" w:rsidRPr="000C08D3">
        <w:rPr>
          <w:b w:val="0"/>
          <w:bCs w:val="0"/>
        </w:rPr>
        <w:t>avec indication</w:t>
      </w:r>
      <w:r w:rsidR="00544E56" w:rsidRPr="000C08D3">
        <w:rPr>
          <w:b w:val="0"/>
          <w:bCs w:val="0"/>
        </w:rPr>
        <w:t xml:space="preserve"> (date de</w:t>
      </w:r>
    </w:p>
    <w:p w14:paraId="07365B33" w14:textId="1241187E" w:rsidR="00C63284" w:rsidRPr="000C08D3" w:rsidRDefault="00544E56" w:rsidP="00516033">
      <w:pPr>
        <w:pStyle w:val="Titre3"/>
        <w:numPr>
          <w:ilvl w:val="0"/>
          <w:numId w:val="0"/>
        </w:numPr>
        <w:spacing w:line="240" w:lineRule="auto"/>
        <w:ind w:left="360"/>
        <w:rPr>
          <w:b w:val="0"/>
          <w:bCs w:val="0"/>
        </w:rPr>
      </w:pPr>
      <w:r w:rsidRPr="000C08D3">
        <w:rPr>
          <w:b w:val="0"/>
          <w:bCs w:val="0"/>
        </w:rPr>
        <w:lastRenderedPageBreak/>
        <w:t xml:space="preserve">départ, et/ou de retour, </w:t>
      </w:r>
      <w:r w:rsidR="00F160D3" w:rsidRPr="000C08D3">
        <w:rPr>
          <w:b w:val="0"/>
          <w:bCs w:val="0"/>
        </w:rPr>
        <w:t xml:space="preserve">classe </w:t>
      </w:r>
      <w:r w:rsidR="00144EBE" w:rsidRPr="000C08D3">
        <w:rPr>
          <w:b w:val="0"/>
          <w:bCs w:val="0"/>
        </w:rPr>
        <w:t>voyages, la/les destinations et les compagnies aériennes recommandées par la GIZ).</w:t>
      </w:r>
    </w:p>
    <w:p w14:paraId="69F69D4B" w14:textId="34FD39DD" w:rsidR="00144EBE" w:rsidRPr="000C08D3" w:rsidRDefault="00144EBE" w:rsidP="000C08D3">
      <w:pPr>
        <w:jc w:val="both"/>
      </w:pPr>
    </w:p>
    <w:p w14:paraId="1AFB8F09" w14:textId="29DF722A" w:rsidR="00F145CC" w:rsidRPr="00253ED9" w:rsidRDefault="00144EBE" w:rsidP="004D7354">
      <w:pPr>
        <w:pStyle w:val="Titre3"/>
        <w:spacing w:line="240" w:lineRule="auto"/>
        <w:rPr>
          <w:b w:val="0"/>
          <w:bCs w:val="0"/>
        </w:rPr>
      </w:pPr>
      <w:r w:rsidRPr="004D7354">
        <w:rPr>
          <w:b w:val="0"/>
          <w:bCs w:val="0"/>
        </w:rPr>
        <w:t xml:space="preserve">Selon </w:t>
      </w:r>
      <w:r w:rsidR="000E6686" w:rsidRPr="004D7354">
        <w:rPr>
          <w:b w:val="0"/>
          <w:bCs w:val="0"/>
        </w:rPr>
        <w:t>la disponi</w:t>
      </w:r>
      <w:r w:rsidR="00F145CC" w:rsidRPr="004D7354">
        <w:rPr>
          <w:b w:val="0"/>
          <w:bCs w:val="0"/>
        </w:rPr>
        <w:t xml:space="preserve">bilité, l’agence répond dans un délai </w:t>
      </w:r>
      <w:r w:rsidR="000C08D3" w:rsidRPr="004D7354">
        <w:rPr>
          <w:b w:val="0"/>
          <w:bCs w:val="0"/>
        </w:rPr>
        <w:t>raisonnable avec</w:t>
      </w:r>
      <w:r w:rsidR="00F145CC" w:rsidRPr="004D7354">
        <w:rPr>
          <w:b w:val="0"/>
          <w:bCs w:val="0"/>
        </w:rPr>
        <w:t xml:space="preserve"> au plus </w:t>
      </w:r>
      <w:r w:rsidR="00253ED9" w:rsidRPr="004D7354">
        <w:rPr>
          <w:b w:val="0"/>
          <w:bCs w:val="0"/>
        </w:rPr>
        <w:t>t</w:t>
      </w:r>
      <w:r w:rsidR="00F145CC" w:rsidRPr="004D7354">
        <w:rPr>
          <w:b w:val="0"/>
          <w:bCs w:val="0"/>
        </w:rPr>
        <w:t>rois (3) propositions</w:t>
      </w:r>
      <w:r w:rsidR="004D7354" w:rsidRPr="004D7354">
        <w:rPr>
          <w:b w:val="0"/>
          <w:bCs w:val="0"/>
        </w:rPr>
        <w:t xml:space="preserve"> </w:t>
      </w:r>
      <w:r w:rsidR="00F145CC" w:rsidRPr="004D7354">
        <w:rPr>
          <w:b w:val="0"/>
          <w:bCs w:val="0"/>
        </w:rPr>
        <w:t>de réservations des compagnies classées en catégorie A et/ou B</w:t>
      </w:r>
      <w:r w:rsidR="00150F17" w:rsidRPr="004D7354">
        <w:rPr>
          <w:b w:val="0"/>
          <w:bCs w:val="0"/>
        </w:rPr>
        <w:t xml:space="preserve">, en précisant les coûts, </w:t>
      </w:r>
      <w:r w:rsidR="00150F17" w:rsidRPr="00253ED9">
        <w:rPr>
          <w:b w:val="0"/>
          <w:bCs w:val="0"/>
        </w:rPr>
        <w:t xml:space="preserve">l’itinéraire et la durée de validité des billets proposés. Dans le cas où la </w:t>
      </w:r>
      <w:r w:rsidR="000C08D3" w:rsidRPr="00253ED9">
        <w:rPr>
          <w:b w:val="0"/>
          <w:bCs w:val="0"/>
        </w:rPr>
        <w:t>destination demandée ne requiert pas plus de 3 propositions, l’agence proposera la compagnie qui desserve.</w:t>
      </w:r>
    </w:p>
    <w:p w14:paraId="28C550FB" w14:textId="77777777" w:rsidR="001D2D15" w:rsidRPr="000C08D3" w:rsidRDefault="001D2D15" w:rsidP="000C08D3">
      <w:pPr>
        <w:pStyle w:val="Paragraphedeliste"/>
        <w:spacing w:after="0" w:line="240" w:lineRule="auto"/>
        <w:jc w:val="both"/>
      </w:pPr>
    </w:p>
    <w:p w14:paraId="498C93FE" w14:textId="77777777" w:rsidR="00AF2692" w:rsidRPr="000C08D3" w:rsidRDefault="00AE318F" w:rsidP="000C08D3">
      <w:pPr>
        <w:pStyle w:val="Titre3"/>
        <w:spacing w:line="240" w:lineRule="auto"/>
        <w:rPr>
          <w:b w:val="0"/>
          <w:bCs w:val="0"/>
        </w:rPr>
      </w:pPr>
      <w:r w:rsidRPr="000C08D3">
        <w:rPr>
          <w:b w:val="0"/>
          <w:bCs w:val="0"/>
        </w:rPr>
        <w:t>Dans les trois (3) à cinq (5) heures qui suivent</w:t>
      </w:r>
      <w:r w:rsidR="00F2041E" w:rsidRPr="000C08D3">
        <w:rPr>
          <w:b w:val="0"/>
          <w:bCs w:val="0"/>
        </w:rPr>
        <w:t xml:space="preserve"> la demande de la GIZ</w:t>
      </w:r>
      <w:r w:rsidRPr="000C08D3">
        <w:rPr>
          <w:b w:val="0"/>
          <w:bCs w:val="0"/>
        </w:rPr>
        <w:t>, l</w:t>
      </w:r>
      <w:r w:rsidR="001B1B8A" w:rsidRPr="000C08D3">
        <w:rPr>
          <w:b w:val="0"/>
          <w:bCs w:val="0"/>
        </w:rPr>
        <w:t>’agence répond</w:t>
      </w:r>
      <w:r w:rsidR="005E12D0" w:rsidRPr="000C08D3">
        <w:rPr>
          <w:b w:val="0"/>
          <w:bCs w:val="0"/>
        </w:rPr>
        <w:t>ra</w:t>
      </w:r>
      <w:r w:rsidR="001B1B8A" w:rsidRPr="000C08D3">
        <w:rPr>
          <w:b w:val="0"/>
          <w:bCs w:val="0"/>
        </w:rPr>
        <w:t xml:space="preserve"> </w:t>
      </w:r>
    </w:p>
    <w:p w14:paraId="710FA6BF" w14:textId="037F6684" w:rsidR="001B1B8A" w:rsidRPr="00AF2692" w:rsidRDefault="001B1B8A" w:rsidP="000C08D3">
      <w:pPr>
        <w:pStyle w:val="Titre3"/>
        <w:numPr>
          <w:ilvl w:val="0"/>
          <w:numId w:val="0"/>
        </w:numPr>
        <w:spacing w:line="240" w:lineRule="auto"/>
        <w:ind w:left="360"/>
        <w:rPr>
          <w:b w:val="0"/>
          <w:bCs w:val="0"/>
        </w:rPr>
      </w:pPr>
      <w:r w:rsidRPr="000C08D3">
        <w:rPr>
          <w:b w:val="0"/>
          <w:bCs w:val="0"/>
        </w:rPr>
        <w:t>avec une proposition de</w:t>
      </w:r>
      <w:r w:rsidR="00AE318F" w:rsidRPr="000C08D3">
        <w:rPr>
          <w:b w:val="0"/>
          <w:bCs w:val="0"/>
        </w:rPr>
        <w:t xml:space="preserve"> </w:t>
      </w:r>
      <w:r w:rsidR="00AE318F" w:rsidRPr="000C08D3">
        <w:rPr>
          <w:b w:val="0"/>
          <w:bCs w:val="0"/>
          <w:u w:val="single"/>
        </w:rPr>
        <w:t>trois (03)</w:t>
      </w:r>
      <w:r w:rsidRPr="000C08D3">
        <w:rPr>
          <w:b w:val="0"/>
          <w:bCs w:val="0"/>
          <w:u w:val="single"/>
        </w:rPr>
        <w:t xml:space="preserve"> </w:t>
      </w:r>
      <w:r w:rsidR="00AE318F" w:rsidRPr="000C08D3">
        <w:rPr>
          <w:b w:val="0"/>
          <w:bCs w:val="0"/>
          <w:u w:val="single"/>
        </w:rPr>
        <w:t>réservations</w:t>
      </w:r>
      <w:r w:rsidR="00F2041E" w:rsidRPr="000C08D3">
        <w:rPr>
          <w:b w:val="0"/>
          <w:bCs w:val="0"/>
          <w:u w:val="single"/>
        </w:rPr>
        <w:t xml:space="preserve"> au moins</w:t>
      </w:r>
      <w:r w:rsidRPr="000C08D3">
        <w:rPr>
          <w:b w:val="0"/>
          <w:bCs w:val="0"/>
        </w:rPr>
        <w:t xml:space="preserve">, </w:t>
      </w:r>
      <w:r w:rsidR="00AE318F" w:rsidRPr="000C08D3">
        <w:rPr>
          <w:b w:val="0"/>
          <w:bCs w:val="0"/>
        </w:rPr>
        <w:t xml:space="preserve">en précisant </w:t>
      </w:r>
      <w:r w:rsidR="00F160D3" w:rsidRPr="000C08D3">
        <w:rPr>
          <w:b w:val="0"/>
          <w:bCs w:val="0"/>
        </w:rPr>
        <w:t>les coûts, l’itinéraire et l</w:t>
      </w:r>
      <w:r w:rsidR="00AE318F" w:rsidRPr="000C08D3">
        <w:rPr>
          <w:b w:val="0"/>
          <w:bCs w:val="0"/>
        </w:rPr>
        <w:t>a durée de validité des</w:t>
      </w:r>
      <w:r w:rsidRPr="000C08D3">
        <w:rPr>
          <w:b w:val="0"/>
          <w:bCs w:val="0"/>
        </w:rPr>
        <w:t xml:space="preserve"> billet</w:t>
      </w:r>
      <w:r w:rsidR="00AE318F" w:rsidRPr="000C08D3">
        <w:rPr>
          <w:b w:val="0"/>
          <w:bCs w:val="0"/>
        </w:rPr>
        <w:t>s proposés</w:t>
      </w:r>
    </w:p>
    <w:p w14:paraId="6712D8AF" w14:textId="77777777" w:rsidR="001D2D15" w:rsidRPr="00AF2692" w:rsidRDefault="001D2D15" w:rsidP="000C08D3">
      <w:pPr>
        <w:pStyle w:val="Paragraphedeliste"/>
        <w:spacing w:line="240" w:lineRule="auto"/>
        <w:jc w:val="both"/>
      </w:pPr>
    </w:p>
    <w:p w14:paraId="1039FB4B" w14:textId="77777777" w:rsidR="005F4E37" w:rsidRDefault="001A5BB1" w:rsidP="000C08D3">
      <w:pPr>
        <w:pStyle w:val="Titre3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L’agence veille à ce que les réservations d’hôtels, lors des escales ou des transits de </w:t>
      </w:r>
    </w:p>
    <w:p w14:paraId="2733A025" w14:textId="3F03CF71" w:rsidR="005F4E37" w:rsidRDefault="001A5BB1" w:rsidP="005F4E37">
      <w:pPr>
        <w:pStyle w:val="Titre3"/>
        <w:numPr>
          <w:ilvl w:val="0"/>
          <w:numId w:val="0"/>
        </w:numPr>
        <w:spacing w:line="240" w:lineRule="auto"/>
        <w:ind w:left="360"/>
        <w:rPr>
          <w:b w:val="0"/>
          <w:bCs w:val="0"/>
        </w:rPr>
      </w:pPr>
      <w:r>
        <w:rPr>
          <w:b w:val="0"/>
          <w:bCs w:val="0"/>
        </w:rPr>
        <w:t xml:space="preserve">plus de huit heures, soient assurées par les compagnies. Dans le cas échéant, l’agence propose une alternative de solution qui prend </w:t>
      </w:r>
      <w:r w:rsidR="005F4E37">
        <w:rPr>
          <w:b w:val="0"/>
          <w:bCs w:val="0"/>
        </w:rPr>
        <w:t xml:space="preserve">en compte cet aspect. </w:t>
      </w:r>
    </w:p>
    <w:p w14:paraId="6EBDC039" w14:textId="77777777" w:rsidR="005F4E37" w:rsidRDefault="005F4E37" w:rsidP="005F4E37">
      <w:pPr>
        <w:pStyle w:val="Titre3"/>
        <w:numPr>
          <w:ilvl w:val="0"/>
          <w:numId w:val="0"/>
        </w:numPr>
        <w:spacing w:line="240" w:lineRule="auto"/>
        <w:ind w:left="1080"/>
        <w:rPr>
          <w:b w:val="0"/>
          <w:bCs w:val="0"/>
        </w:rPr>
      </w:pPr>
    </w:p>
    <w:p w14:paraId="427CFCD3" w14:textId="02937A0C" w:rsidR="00AF2692" w:rsidRDefault="00D57018" w:rsidP="000C08D3">
      <w:pPr>
        <w:pStyle w:val="Titre3"/>
        <w:spacing w:line="240" w:lineRule="auto"/>
        <w:rPr>
          <w:b w:val="0"/>
          <w:bCs w:val="0"/>
        </w:rPr>
      </w:pPr>
      <w:r w:rsidRPr="00AF2692">
        <w:rPr>
          <w:b w:val="0"/>
          <w:bCs w:val="0"/>
        </w:rPr>
        <w:t>L</w:t>
      </w:r>
      <w:r w:rsidR="00AE318F" w:rsidRPr="00AF2692">
        <w:rPr>
          <w:b w:val="0"/>
          <w:bCs w:val="0"/>
        </w:rPr>
        <w:t>e</w:t>
      </w:r>
      <w:r w:rsidR="00901408" w:rsidRPr="00AF2692">
        <w:rPr>
          <w:b w:val="0"/>
          <w:bCs w:val="0"/>
        </w:rPr>
        <w:t xml:space="preserve"> (la)</w:t>
      </w:r>
      <w:r w:rsidR="00AE318F" w:rsidRPr="00AF2692">
        <w:rPr>
          <w:b w:val="0"/>
          <w:bCs w:val="0"/>
        </w:rPr>
        <w:t xml:space="preserve"> chargé</w:t>
      </w:r>
      <w:r w:rsidR="00C26BF0">
        <w:rPr>
          <w:b w:val="0"/>
          <w:bCs w:val="0"/>
        </w:rPr>
        <w:t>(</w:t>
      </w:r>
      <w:r w:rsidR="00901408" w:rsidRPr="00AF2692">
        <w:rPr>
          <w:b w:val="0"/>
          <w:bCs w:val="0"/>
        </w:rPr>
        <w:t>e</w:t>
      </w:r>
      <w:r w:rsidR="00C26BF0">
        <w:rPr>
          <w:b w:val="0"/>
          <w:bCs w:val="0"/>
        </w:rPr>
        <w:t>)</w:t>
      </w:r>
      <w:r w:rsidR="00AE318F" w:rsidRPr="00AF2692">
        <w:rPr>
          <w:b w:val="0"/>
          <w:bCs w:val="0"/>
        </w:rPr>
        <w:t xml:space="preserve"> d</w:t>
      </w:r>
      <w:r w:rsidR="0062631A">
        <w:rPr>
          <w:b w:val="0"/>
          <w:bCs w:val="0"/>
        </w:rPr>
        <w:t>’achat</w:t>
      </w:r>
      <w:r w:rsidRPr="00AF2692">
        <w:rPr>
          <w:b w:val="0"/>
          <w:bCs w:val="0"/>
        </w:rPr>
        <w:t xml:space="preserve"> confirme le choix de la GIZ</w:t>
      </w:r>
      <w:r w:rsidR="00F2041E" w:rsidRPr="00AF2692">
        <w:rPr>
          <w:b w:val="0"/>
          <w:bCs w:val="0"/>
        </w:rPr>
        <w:t xml:space="preserve">, puis présente </w:t>
      </w:r>
      <w:r w:rsidR="00AE318F" w:rsidRPr="00AF2692">
        <w:rPr>
          <w:b w:val="0"/>
          <w:bCs w:val="0"/>
        </w:rPr>
        <w:t xml:space="preserve">à l’agence </w:t>
      </w:r>
      <w:r w:rsidR="00D67016" w:rsidRPr="00AF2692">
        <w:rPr>
          <w:b w:val="0"/>
          <w:bCs w:val="0"/>
        </w:rPr>
        <w:t xml:space="preserve">un bon </w:t>
      </w:r>
    </w:p>
    <w:p w14:paraId="61016C0A" w14:textId="30AE8FCE" w:rsidR="001B1B8A" w:rsidRPr="00AF2692" w:rsidRDefault="00D67016" w:rsidP="000C08D3">
      <w:pPr>
        <w:pStyle w:val="Titre3"/>
        <w:numPr>
          <w:ilvl w:val="0"/>
          <w:numId w:val="0"/>
        </w:numPr>
        <w:spacing w:line="240" w:lineRule="auto"/>
        <w:ind w:left="360"/>
        <w:rPr>
          <w:b w:val="0"/>
          <w:bCs w:val="0"/>
        </w:rPr>
      </w:pPr>
      <w:r w:rsidRPr="00AF2692">
        <w:rPr>
          <w:b w:val="0"/>
          <w:bCs w:val="0"/>
        </w:rPr>
        <w:t>de commande</w:t>
      </w:r>
      <w:r w:rsidR="00383CE3" w:rsidRPr="00AF2692">
        <w:rPr>
          <w:b w:val="0"/>
          <w:bCs w:val="0"/>
        </w:rPr>
        <w:t xml:space="preserve">, ou </w:t>
      </w:r>
      <w:r w:rsidR="00F2041E" w:rsidRPr="00AF2692">
        <w:rPr>
          <w:b w:val="0"/>
          <w:bCs w:val="0"/>
        </w:rPr>
        <w:t xml:space="preserve">fait par mail une </w:t>
      </w:r>
      <w:r w:rsidR="00383CE3" w:rsidRPr="00AF2692">
        <w:rPr>
          <w:b w:val="0"/>
          <w:bCs w:val="0"/>
        </w:rPr>
        <w:t xml:space="preserve">demande </w:t>
      </w:r>
      <w:r w:rsidR="00901408" w:rsidRPr="00AF2692">
        <w:rPr>
          <w:b w:val="0"/>
          <w:bCs w:val="0"/>
        </w:rPr>
        <w:t>d’</w:t>
      </w:r>
      <w:r w:rsidR="00383CE3" w:rsidRPr="00AF2692">
        <w:rPr>
          <w:b w:val="0"/>
          <w:bCs w:val="0"/>
        </w:rPr>
        <w:t>annulation</w:t>
      </w:r>
      <w:r w:rsidR="00F45F92" w:rsidRPr="00AF2692">
        <w:rPr>
          <w:b w:val="0"/>
          <w:bCs w:val="0"/>
        </w:rPr>
        <w:t xml:space="preserve">. Au cas où le billet choisi n’est plus disponible, </w:t>
      </w:r>
      <w:r w:rsidR="00ED1BEA">
        <w:rPr>
          <w:b w:val="0"/>
          <w:bCs w:val="0"/>
        </w:rPr>
        <w:t>la compagnie le notifie à la GIZ et propose une alternative en tenant toujours compte des conditions de sécurité.</w:t>
      </w:r>
      <w:r w:rsidRPr="00AF2692">
        <w:rPr>
          <w:b w:val="0"/>
          <w:bCs w:val="0"/>
        </w:rPr>
        <w:t xml:space="preserve"> </w:t>
      </w:r>
    </w:p>
    <w:p w14:paraId="6CC155C2" w14:textId="77777777" w:rsidR="001D2D15" w:rsidRPr="00AF2692" w:rsidRDefault="001D2D15" w:rsidP="000C08D3">
      <w:pPr>
        <w:pStyle w:val="Paragraphedeliste"/>
        <w:spacing w:after="0" w:line="240" w:lineRule="auto"/>
        <w:jc w:val="both"/>
      </w:pPr>
    </w:p>
    <w:p w14:paraId="2FF658AA" w14:textId="77777777" w:rsidR="00B65013" w:rsidRDefault="00F45F92" w:rsidP="000C08D3">
      <w:pPr>
        <w:pStyle w:val="Titre3"/>
        <w:spacing w:line="240" w:lineRule="auto"/>
        <w:rPr>
          <w:b w:val="0"/>
          <w:bCs w:val="0"/>
        </w:rPr>
      </w:pPr>
      <w:r w:rsidRPr="00AF2692">
        <w:rPr>
          <w:b w:val="0"/>
          <w:bCs w:val="0"/>
        </w:rPr>
        <w:t xml:space="preserve">L’agence </w:t>
      </w:r>
      <w:r w:rsidR="0058420E">
        <w:rPr>
          <w:b w:val="0"/>
          <w:bCs w:val="0"/>
        </w:rPr>
        <w:t>émet</w:t>
      </w:r>
      <w:r w:rsidR="003C3FA4">
        <w:rPr>
          <w:b w:val="0"/>
          <w:bCs w:val="0"/>
        </w:rPr>
        <w:t xml:space="preserve"> </w:t>
      </w:r>
      <w:r w:rsidRPr="00AF2692">
        <w:rPr>
          <w:b w:val="0"/>
          <w:bCs w:val="0"/>
        </w:rPr>
        <w:t>le billet</w:t>
      </w:r>
      <w:r w:rsidR="00D67016" w:rsidRPr="00AF2692">
        <w:rPr>
          <w:b w:val="0"/>
          <w:bCs w:val="0"/>
        </w:rPr>
        <w:t xml:space="preserve"> </w:t>
      </w:r>
      <w:r w:rsidR="00375B2C">
        <w:rPr>
          <w:b w:val="0"/>
          <w:bCs w:val="0"/>
        </w:rPr>
        <w:t>automatiquement</w:t>
      </w:r>
      <w:r w:rsidR="001044D4">
        <w:rPr>
          <w:b w:val="0"/>
          <w:bCs w:val="0"/>
        </w:rPr>
        <w:t xml:space="preserve"> </w:t>
      </w:r>
      <w:r w:rsidR="00B65013">
        <w:rPr>
          <w:b w:val="0"/>
          <w:bCs w:val="0"/>
        </w:rPr>
        <w:t xml:space="preserve">par mail </w:t>
      </w:r>
      <w:r w:rsidR="003C3FA4">
        <w:rPr>
          <w:b w:val="0"/>
          <w:bCs w:val="0"/>
        </w:rPr>
        <w:t xml:space="preserve">dès </w:t>
      </w:r>
      <w:r w:rsidR="001044D4">
        <w:rPr>
          <w:b w:val="0"/>
          <w:bCs w:val="0"/>
        </w:rPr>
        <w:t>que l</w:t>
      </w:r>
      <w:r w:rsidR="00C26BF0" w:rsidRPr="00AF2692">
        <w:rPr>
          <w:b w:val="0"/>
          <w:bCs w:val="0"/>
        </w:rPr>
        <w:t>e (la) chargé</w:t>
      </w:r>
      <w:r w:rsidR="00C26BF0">
        <w:rPr>
          <w:b w:val="0"/>
          <w:bCs w:val="0"/>
        </w:rPr>
        <w:t>(</w:t>
      </w:r>
      <w:r w:rsidR="00C26BF0" w:rsidRPr="00AF2692">
        <w:rPr>
          <w:b w:val="0"/>
          <w:bCs w:val="0"/>
        </w:rPr>
        <w:t>e</w:t>
      </w:r>
      <w:r w:rsidR="00C26BF0">
        <w:rPr>
          <w:b w:val="0"/>
          <w:bCs w:val="0"/>
        </w:rPr>
        <w:t>)</w:t>
      </w:r>
      <w:r w:rsidR="001044D4">
        <w:rPr>
          <w:b w:val="0"/>
          <w:bCs w:val="0"/>
        </w:rPr>
        <w:t xml:space="preserve"> </w:t>
      </w:r>
      <w:r w:rsidR="00545381">
        <w:rPr>
          <w:b w:val="0"/>
          <w:bCs w:val="0"/>
        </w:rPr>
        <w:t xml:space="preserve">d’achat </w:t>
      </w:r>
    </w:p>
    <w:p w14:paraId="41A57805" w14:textId="4B09E35B" w:rsidR="00F45F92" w:rsidRDefault="001044D4" w:rsidP="000C08D3">
      <w:pPr>
        <w:pStyle w:val="Titre3"/>
        <w:numPr>
          <w:ilvl w:val="0"/>
          <w:numId w:val="0"/>
        </w:numPr>
        <w:spacing w:line="240" w:lineRule="auto"/>
        <w:ind w:left="360"/>
        <w:rPr>
          <w:b w:val="0"/>
          <w:bCs w:val="0"/>
        </w:rPr>
      </w:pPr>
      <w:r>
        <w:rPr>
          <w:b w:val="0"/>
          <w:bCs w:val="0"/>
        </w:rPr>
        <w:t>confirme</w:t>
      </w:r>
      <w:r w:rsidR="00964FB0">
        <w:rPr>
          <w:b w:val="0"/>
          <w:bCs w:val="0"/>
        </w:rPr>
        <w:t>ra</w:t>
      </w:r>
      <w:r>
        <w:rPr>
          <w:b w:val="0"/>
          <w:bCs w:val="0"/>
        </w:rPr>
        <w:t xml:space="preserve"> et en</w:t>
      </w:r>
      <w:r w:rsidR="00D67016" w:rsidRPr="00AF2692">
        <w:rPr>
          <w:b w:val="0"/>
          <w:bCs w:val="0"/>
        </w:rPr>
        <w:t xml:space="preserve">suite </w:t>
      </w:r>
      <w:r>
        <w:rPr>
          <w:b w:val="0"/>
          <w:bCs w:val="0"/>
        </w:rPr>
        <w:t>le</w:t>
      </w:r>
      <w:r w:rsidR="00545381">
        <w:rPr>
          <w:b w:val="0"/>
          <w:bCs w:val="0"/>
        </w:rPr>
        <w:t xml:space="preserve"> </w:t>
      </w:r>
      <w:r>
        <w:rPr>
          <w:b w:val="0"/>
          <w:bCs w:val="0"/>
        </w:rPr>
        <w:t>bon de commande lui sera envoyé</w:t>
      </w:r>
      <w:r w:rsidR="00F45F92" w:rsidRPr="00AF2692">
        <w:rPr>
          <w:b w:val="0"/>
          <w:bCs w:val="0"/>
        </w:rPr>
        <w:t>. Les éléments importants sont surlignés en jaune pour l’attention du voyageur</w:t>
      </w:r>
      <w:r w:rsidR="00B65013">
        <w:rPr>
          <w:b w:val="0"/>
          <w:bCs w:val="0"/>
        </w:rPr>
        <w:t xml:space="preserve"> (heure de convocation, numéro d’urgence de l’agence…)</w:t>
      </w:r>
      <w:r w:rsidR="00F45F92" w:rsidRPr="00AF2692">
        <w:rPr>
          <w:b w:val="0"/>
          <w:bCs w:val="0"/>
        </w:rPr>
        <w:t xml:space="preserve">. Le billet est envoyé </w:t>
      </w:r>
      <w:r w:rsidR="00D22B41">
        <w:rPr>
          <w:b w:val="0"/>
          <w:bCs w:val="0"/>
        </w:rPr>
        <w:t xml:space="preserve">par mail </w:t>
      </w:r>
      <w:r w:rsidR="00F45F92" w:rsidRPr="00AF2692">
        <w:rPr>
          <w:b w:val="0"/>
          <w:bCs w:val="0"/>
        </w:rPr>
        <w:t xml:space="preserve">au chargé </w:t>
      </w:r>
      <w:r w:rsidR="00545381">
        <w:rPr>
          <w:b w:val="0"/>
          <w:bCs w:val="0"/>
        </w:rPr>
        <w:t>d’achat</w:t>
      </w:r>
      <w:r w:rsidR="00F45F92" w:rsidRPr="00AF2692">
        <w:rPr>
          <w:b w:val="0"/>
          <w:bCs w:val="0"/>
        </w:rPr>
        <w:t xml:space="preserve"> sauf indication contraire de ce dernier, dans les cas d’urgence par exemple où il pourra indiquer un autre mail</w:t>
      </w:r>
      <w:r w:rsidR="00D67016" w:rsidRPr="00AF2692">
        <w:rPr>
          <w:b w:val="0"/>
          <w:bCs w:val="0"/>
        </w:rPr>
        <w:t>.</w:t>
      </w:r>
      <w:r w:rsidR="00F2041E" w:rsidRPr="00AF2692">
        <w:rPr>
          <w:b w:val="0"/>
          <w:bCs w:val="0"/>
        </w:rPr>
        <w:t xml:space="preserve"> </w:t>
      </w:r>
    </w:p>
    <w:p w14:paraId="294A2A60" w14:textId="77777777" w:rsidR="00D22B41" w:rsidRDefault="00D22B41" w:rsidP="000C08D3">
      <w:pPr>
        <w:jc w:val="both"/>
        <w:rPr>
          <w:highlight w:val="yellow"/>
        </w:rPr>
      </w:pPr>
    </w:p>
    <w:p w14:paraId="3D9DB10C" w14:textId="6B4AA288" w:rsidR="00B65013" w:rsidRPr="00B65013" w:rsidRDefault="005E000B" w:rsidP="000C08D3">
      <w:pPr>
        <w:jc w:val="both"/>
      </w:pPr>
      <w:r w:rsidRPr="005E000B">
        <w:rPr>
          <w:highlight w:val="yellow"/>
        </w:rPr>
        <w:t>N.B : Sur chaque billet doit apparaître l’émission CO2/personne.</w:t>
      </w:r>
    </w:p>
    <w:p w14:paraId="05F0ADF9" w14:textId="77777777" w:rsidR="001D2D15" w:rsidRDefault="001D2D15" w:rsidP="00AF2692">
      <w:pPr>
        <w:spacing w:after="0" w:line="240" w:lineRule="auto"/>
        <w:jc w:val="both"/>
      </w:pPr>
    </w:p>
    <w:p w14:paraId="2A0FAC1C" w14:textId="3803A5EE" w:rsidR="00FC7A19" w:rsidRDefault="00FC7A19" w:rsidP="00686297">
      <w:pPr>
        <w:pStyle w:val="Sansinterligne"/>
      </w:pPr>
      <w:bookmarkStart w:id="12" w:name="_Toc34049105"/>
      <w:bookmarkEnd w:id="6"/>
      <w:r>
        <w:t>Flexibilité</w:t>
      </w:r>
      <w:bookmarkEnd w:id="12"/>
    </w:p>
    <w:p w14:paraId="3F4ACC8A" w14:textId="34897CE1" w:rsidR="00D556F0" w:rsidRDefault="00D556F0" w:rsidP="008F6A08">
      <w:pPr>
        <w:spacing w:after="0" w:line="240" w:lineRule="auto"/>
        <w:jc w:val="both"/>
      </w:pPr>
      <w:r>
        <w:t xml:space="preserve">Afin que </w:t>
      </w:r>
      <w:r w:rsidR="00156774">
        <w:t xml:space="preserve">la prestation se </w:t>
      </w:r>
      <w:r>
        <w:t>déroule dans d</w:t>
      </w:r>
      <w:r w:rsidR="00156774">
        <w:t>es condi</w:t>
      </w:r>
      <w:r w:rsidR="00F45F92">
        <w:t>tions optimales de satisfaction</w:t>
      </w:r>
      <w:r w:rsidR="00F2041E">
        <w:t xml:space="preserve"> de la GIZ</w:t>
      </w:r>
      <w:r>
        <w:t>, l’agence veille à assurer en tout temps les conditions suivantes :</w:t>
      </w:r>
    </w:p>
    <w:p w14:paraId="198899D5" w14:textId="77777777" w:rsidR="00B4217B" w:rsidRDefault="00B4217B" w:rsidP="008F6A08">
      <w:pPr>
        <w:spacing w:after="0" w:line="240" w:lineRule="auto"/>
        <w:jc w:val="both"/>
      </w:pPr>
    </w:p>
    <w:p w14:paraId="462D3167" w14:textId="627BE93F" w:rsidR="00D342C1" w:rsidRPr="002D63B2" w:rsidRDefault="00156774" w:rsidP="003E4C04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L’agence est </w:t>
      </w:r>
      <w:r w:rsidR="00462669">
        <w:t>capable de travail</w:t>
      </w:r>
      <w:r w:rsidR="004E31B5">
        <w:t xml:space="preserve">ler </w:t>
      </w:r>
      <w:r w:rsidR="00505DBC">
        <w:t xml:space="preserve">et communiquer </w:t>
      </w:r>
      <w:r w:rsidR="004E31B5">
        <w:t>en toute flexibilité avec la</w:t>
      </w:r>
      <w:r w:rsidR="00462669">
        <w:t xml:space="preserve"> GIZ. Ceci </w:t>
      </w:r>
      <w:r w:rsidR="00505DBC">
        <w:t xml:space="preserve">repose sur </w:t>
      </w:r>
      <w:r w:rsidR="00462669">
        <w:t>une collaboration étroite par mails</w:t>
      </w:r>
      <w:r w:rsidR="00505DBC">
        <w:t xml:space="preserve"> et a</w:t>
      </w:r>
      <w:r w:rsidR="00F45F92">
        <w:t xml:space="preserve">ppels téléphoniques. </w:t>
      </w:r>
      <w:r w:rsidR="00505DBC">
        <w:t xml:space="preserve">En soumettant </w:t>
      </w:r>
      <w:r w:rsidR="00F45F92">
        <w:t>u</w:t>
      </w:r>
      <w:r w:rsidR="00505DBC">
        <w:t xml:space="preserve">ne offre, l’agence s’engage et confirme sa </w:t>
      </w:r>
      <w:r w:rsidR="00505DBC" w:rsidRPr="00505DBC">
        <w:t xml:space="preserve">capacité </w:t>
      </w:r>
      <w:r w:rsidR="00F2041E">
        <w:t>de</w:t>
      </w:r>
      <w:r w:rsidR="00F45F92">
        <w:t xml:space="preserve"> </w:t>
      </w:r>
      <w:r w:rsidR="00D342C1" w:rsidRPr="002B1079">
        <w:rPr>
          <w:i/>
          <w:u w:val="single"/>
        </w:rPr>
        <w:t xml:space="preserve">satisfaire </w:t>
      </w:r>
      <w:r w:rsidR="00F45F92" w:rsidRPr="002B1079">
        <w:rPr>
          <w:i/>
          <w:u w:val="single"/>
        </w:rPr>
        <w:t>les urgences</w:t>
      </w:r>
      <w:r w:rsidR="00F2041E" w:rsidRPr="002B1079">
        <w:rPr>
          <w:i/>
          <w:u w:val="single"/>
        </w:rPr>
        <w:t xml:space="preserve"> en temps réel</w:t>
      </w:r>
      <w:r w:rsidR="00505DBC">
        <w:t xml:space="preserve">, </w:t>
      </w:r>
      <w:r w:rsidR="00505DBC" w:rsidRPr="00505DBC">
        <w:t>non seulement les jours ouvrables, mais aussi pendant les weekends et jours fériés.</w:t>
      </w:r>
      <w:r w:rsidR="00F45F92">
        <w:t xml:space="preserve"> Pour ce faire, </w:t>
      </w:r>
      <w:r w:rsidR="00F45F92" w:rsidRPr="002B1079">
        <w:rPr>
          <w:i/>
          <w:u w:val="single"/>
        </w:rPr>
        <w:t>l</w:t>
      </w:r>
      <w:r w:rsidR="00505DBC" w:rsidRPr="002B1079">
        <w:rPr>
          <w:i/>
          <w:u w:val="single"/>
        </w:rPr>
        <w:t>'agence comprend qu’elle d</w:t>
      </w:r>
      <w:r w:rsidR="00F45F92" w:rsidRPr="002B1079">
        <w:rPr>
          <w:i/>
          <w:u w:val="single"/>
        </w:rPr>
        <w:t>oit assurer un contact permanemment disponible</w:t>
      </w:r>
      <w:r w:rsidR="00505DBC" w:rsidRPr="002B1079">
        <w:rPr>
          <w:i/>
          <w:u w:val="single"/>
        </w:rPr>
        <w:t>, et un second contact d'urgence</w:t>
      </w:r>
      <w:r w:rsidR="00D342C1" w:rsidRPr="002B1079">
        <w:rPr>
          <w:i/>
          <w:u w:val="single"/>
        </w:rPr>
        <w:t>, en cas d’absence du premier</w:t>
      </w:r>
      <w:r w:rsidR="00D342C1">
        <w:t xml:space="preserve">. </w:t>
      </w:r>
      <w:r w:rsidR="00D342C1" w:rsidRPr="002B1079">
        <w:rPr>
          <w:i/>
          <w:u w:val="single"/>
        </w:rPr>
        <w:t xml:space="preserve">Les deux contacts sont </w:t>
      </w:r>
      <w:r w:rsidR="00505DBC" w:rsidRPr="002B1079">
        <w:rPr>
          <w:i/>
          <w:u w:val="single"/>
        </w:rPr>
        <w:t>capable</w:t>
      </w:r>
      <w:r w:rsidR="00D342C1" w:rsidRPr="002B1079">
        <w:rPr>
          <w:i/>
          <w:u w:val="single"/>
        </w:rPr>
        <w:t>s</w:t>
      </w:r>
      <w:r w:rsidR="00505DBC" w:rsidRPr="002B1079">
        <w:rPr>
          <w:i/>
          <w:u w:val="single"/>
        </w:rPr>
        <w:t xml:space="preserve"> de faire </w:t>
      </w:r>
      <w:r w:rsidR="00D342C1" w:rsidRPr="002B1079">
        <w:rPr>
          <w:i/>
          <w:u w:val="single"/>
        </w:rPr>
        <w:t>l</w:t>
      </w:r>
      <w:r w:rsidR="0078485A" w:rsidRPr="002B1079">
        <w:rPr>
          <w:i/>
          <w:u w:val="single"/>
        </w:rPr>
        <w:t>es réservations</w:t>
      </w:r>
      <w:r w:rsidR="00F2041E" w:rsidRPr="002B1079">
        <w:rPr>
          <w:i/>
          <w:u w:val="single"/>
        </w:rPr>
        <w:t xml:space="preserve">, </w:t>
      </w:r>
      <w:r w:rsidR="00E11C16" w:rsidRPr="002B1079">
        <w:rPr>
          <w:i/>
          <w:u w:val="single"/>
        </w:rPr>
        <w:t xml:space="preserve">d’émettre des billets </w:t>
      </w:r>
      <w:r w:rsidR="00F2041E" w:rsidRPr="002B1079">
        <w:rPr>
          <w:i/>
          <w:u w:val="single"/>
        </w:rPr>
        <w:t>même à distance</w:t>
      </w:r>
      <w:r w:rsidR="00D342C1" w:rsidRPr="002B1079">
        <w:rPr>
          <w:i/>
          <w:u w:val="single"/>
        </w:rPr>
        <w:t xml:space="preserve">, </w:t>
      </w:r>
      <w:r w:rsidR="00E11C16" w:rsidRPr="002B1079">
        <w:rPr>
          <w:i/>
          <w:u w:val="single"/>
        </w:rPr>
        <w:t xml:space="preserve">de </w:t>
      </w:r>
      <w:r w:rsidR="00D342C1" w:rsidRPr="002B1079">
        <w:rPr>
          <w:i/>
          <w:u w:val="single"/>
        </w:rPr>
        <w:t>modifier ou annuler les billets</w:t>
      </w:r>
      <w:r w:rsidR="0078485A" w:rsidRPr="002B1079">
        <w:rPr>
          <w:i/>
          <w:u w:val="single"/>
        </w:rPr>
        <w:t xml:space="preserve"> jusqu’à 24H à l’avance</w:t>
      </w:r>
      <w:r w:rsidR="00F2041E" w:rsidRPr="002B1079">
        <w:rPr>
          <w:i/>
          <w:u w:val="single"/>
        </w:rPr>
        <w:t xml:space="preserve">, </w:t>
      </w:r>
      <w:r w:rsidR="00E11C16" w:rsidRPr="002B1079">
        <w:rPr>
          <w:i/>
          <w:u w:val="single"/>
        </w:rPr>
        <w:t>et d’</w:t>
      </w:r>
      <w:r w:rsidR="00F2041E" w:rsidRPr="002B1079">
        <w:rPr>
          <w:i/>
          <w:u w:val="single"/>
        </w:rPr>
        <w:t>envoyer copie électronique des billets par mail</w:t>
      </w:r>
      <w:r w:rsidR="00B4217B" w:rsidRPr="002B1079">
        <w:rPr>
          <w:i/>
          <w:u w:val="single"/>
        </w:rPr>
        <w:t>.</w:t>
      </w:r>
    </w:p>
    <w:p w14:paraId="46AFF3C6" w14:textId="1C57ED89" w:rsidR="002D63B2" w:rsidRDefault="002D63B2" w:rsidP="002D63B2">
      <w:pPr>
        <w:spacing w:after="0" w:line="240" w:lineRule="auto"/>
        <w:jc w:val="both"/>
      </w:pPr>
    </w:p>
    <w:p w14:paraId="744057FD" w14:textId="056C56E5" w:rsidR="002D63B2" w:rsidRPr="00B4217B" w:rsidRDefault="002D63B2" w:rsidP="00FD087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Pendant </w:t>
      </w:r>
      <w:r w:rsidR="00FD087F">
        <w:t>les weekends</w:t>
      </w:r>
      <w:r w:rsidR="00D63522">
        <w:t xml:space="preserve">, jours fériés, et hors heures ouvrables, la modification d’un billet doit </w:t>
      </w:r>
      <w:r w:rsidR="00B72077">
        <w:t>être</w:t>
      </w:r>
      <w:r w:rsidR="00D63522">
        <w:t xml:space="preserve"> approuvée de la même façon que lors de l’achat d’un nouveau billet. L’absence des autorisations nécessaires</w:t>
      </w:r>
      <w:r w:rsidR="00FD087F">
        <w:t xml:space="preserve"> avant la modification d’un billet peut entrainer des pénalités qui seront à la charge du voyageur.</w:t>
      </w:r>
    </w:p>
    <w:p w14:paraId="5F2D75B2" w14:textId="77777777" w:rsidR="00B4217B" w:rsidRDefault="00B4217B" w:rsidP="00B4217B">
      <w:pPr>
        <w:pStyle w:val="Paragraphedeliste"/>
        <w:spacing w:after="0" w:line="240" w:lineRule="auto"/>
        <w:ind w:left="0"/>
        <w:jc w:val="both"/>
      </w:pPr>
    </w:p>
    <w:p w14:paraId="0A3D91E5" w14:textId="47C850E0" w:rsidR="00D342C1" w:rsidRPr="002D63B2" w:rsidRDefault="00870B31" w:rsidP="003E4C04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2D63B2">
        <w:t>L’agence a</w:t>
      </w:r>
      <w:r w:rsidR="008D3739" w:rsidRPr="002D63B2">
        <w:t xml:space="preserve">ssure par un système automatisé, </w:t>
      </w:r>
      <w:r w:rsidRPr="002D63B2">
        <w:t>des notific</w:t>
      </w:r>
      <w:r w:rsidR="00E36CAE" w:rsidRPr="002D63B2">
        <w:t>ations en temps réel</w:t>
      </w:r>
      <w:r w:rsidR="00D67016" w:rsidRPr="002D63B2">
        <w:t>,</w:t>
      </w:r>
      <w:r w:rsidRPr="002D63B2">
        <w:t xml:space="preserve"> </w:t>
      </w:r>
      <w:r w:rsidR="00F92017">
        <w:t xml:space="preserve">à la personne </w:t>
      </w:r>
      <w:r w:rsidR="006541A3" w:rsidRPr="002D63B2">
        <w:t>chargé</w:t>
      </w:r>
      <w:r w:rsidR="00F92017">
        <w:t>e</w:t>
      </w:r>
      <w:r w:rsidR="006541A3" w:rsidRPr="002D63B2">
        <w:t xml:space="preserve"> </w:t>
      </w:r>
      <w:r w:rsidR="00F92017">
        <w:t>des achats de billet d’avion et</w:t>
      </w:r>
      <w:r w:rsidRPr="002D63B2">
        <w:t xml:space="preserve"> aux voyageurs, le statut des réservations pour éviter </w:t>
      </w:r>
      <w:r w:rsidR="0078485A" w:rsidRPr="002D63B2">
        <w:t>des annulations</w:t>
      </w:r>
      <w:r w:rsidR="00D342C1" w:rsidRPr="002D63B2">
        <w:t xml:space="preserve"> et des pertes de fonds</w:t>
      </w:r>
      <w:r w:rsidR="00B4217B" w:rsidRPr="002D63B2">
        <w:t>.</w:t>
      </w:r>
    </w:p>
    <w:p w14:paraId="3D08455A" w14:textId="77777777" w:rsidR="00B4217B" w:rsidRPr="002D63B2" w:rsidRDefault="00B4217B" w:rsidP="00B4217B">
      <w:pPr>
        <w:pStyle w:val="Paragraphedeliste"/>
        <w:spacing w:after="0" w:line="240" w:lineRule="auto"/>
        <w:ind w:left="0"/>
        <w:jc w:val="both"/>
      </w:pPr>
    </w:p>
    <w:p w14:paraId="7DF5A8CC" w14:textId="50EFD749" w:rsidR="00870B31" w:rsidRDefault="00870B31" w:rsidP="003E4C04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2D63B2">
        <w:t>L'agence fournit</w:t>
      </w:r>
      <w:r w:rsidR="00D556F0" w:rsidRPr="002D63B2">
        <w:t xml:space="preserve"> aux voyageurs et au chargé de mission, toutes autres informations pertinentes </w:t>
      </w:r>
      <w:r w:rsidRPr="002D63B2">
        <w:t>telles que les fermetures d’aéroport, l’annulation ou des retards, les grèves, les conditions de sécurité à destination</w:t>
      </w:r>
      <w:r w:rsidR="00B4217B" w:rsidRPr="002D63B2">
        <w:t>.</w:t>
      </w:r>
    </w:p>
    <w:p w14:paraId="45F6F1FE" w14:textId="77777777" w:rsidR="00B63F4E" w:rsidRDefault="00B63F4E" w:rsidP="00B63F4E">
      <w:pPr>
        <w:pStyle w:val="Paragraphedeliste"/>
      </w:pPr>
    </w:p>
    <w:p w14:paraId="5FBDEE3B" w14:textId="321255DF" w:rsidR="00870B31" w:rsidRDefault="00870B31" w:rsidP="003E4C04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Lorsque c'est possible, l'agence assure </w:t>
      </w:r>
      <w:r w:rsidR="00D342C1">
        <w:t xml:space="preserve">sur toutes les compagnies aériennes pour lesquelles elle peut assurer </w:t>
      </w:r>
      <w:r w:rsidR="008D3739">
        <w:t xml:space="preserve">de tels </w:t>
      </w:r>
      <w:r w:rsidR="00D342C1">
        <w:t>services</w:t>
      </w:r>
      <w:r w:rsidR="00A22FA5">
        <w:t> :</w:t>
      </w:r>
    </w:p>
    <w:p w14:paraId="1E0044F2" w14:textId="77777777" w:rsidR="00A22FA5" w:rsidRDefault="00A22FA5" w:rsidP="00A22FA5">
      <w:pPr>
        <w:pStyle w:val="Paragraphedeliste"/>
      </w:pPr>
    </w:p>
    <w:p w14:paraId="14693A9B" w14:textId="41954DC6" w:rsidR="00870B31" w:rsidRDefault="0078485A" w:rsidP="003E4C04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Le</w:t>
      </w:r>
      <w:r w:rsidR="00870B31">
        <w:t xml:space="preserve"> pré</w:t>
      </w:r>
      <w:r w:rsidR="00CB0684">
        <w:t xml:space="preserve"> </w:t>
      </w:r>
      <w:r w:rsidR="00870B31">
        <w:t>-</w:t>
      </w:r>
      <w:r w:rsidR="00CB0684">
        <w:t xml:space="preserve"> </w:t>
      </w:r>
      <w:r w:rsidR="00870B31">
        <w:t xml:space="preserve">enregistrement, </w:t>
      </w:r>
    </w:p>
    <w:p w14:paraId="3E3E5FA9" w14:textId="4229C0DC" w:rsidR="00D342C1" w:rsidRDefault="0078485A" w:rsidP="003E4C04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L’émission</w:t>
      </w:r>
      <w:r w:rsidR="00870B31">
        <w:t xml:space="preserve"> des cartes d’embarquement à l’avance</w:t>
      </w:r>
    </w:p>
    <w:p w14:paraId="72994EA0" w14:textId="4FD14F99" w:rsidR="00D342C1" w:rsidRDefault="00D342C1" w:rsidP="003E4C04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Le traitement d</w:t>
      </w:r>
      <w:r w:rsidR="0078485A">
        <w:t>es</w:t>
      </w:r>
      <w:r w:rsidR="00870B31">
        <w:t xml:space="preserve"> demandes spéciales telles que les attributions</w:t>
      </w:r>
      <w:r>
        <w:t xml:space="preserve"> de sièges, les repas spéciaux</w:t>
      </w:r>
      <w:r w:rsidR="00D556F0">
        <w:t>.</w:t>
      </w:r>
    </w:p>
    <w:p w14:paraId="6D27922F" w14:textId="77777777" w:rsidR="00655B15" w:rsidRDefault="00655B15" w:rsidP="00655B15">
      <w:pPr>
        <w:pStyle w:val="Paragraphedeliste"/>
      </w:pPr>
    </w:p>
    <w:p w14:paraId="59898E2D" w14:textId="21E75CED" w:rsidR="0090442B" w:rsidRDefault="00D556F0" w:rsidP="003E4C04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 xml:space="preserve">L’agence étend de tels services aux autres </w:t>
      </w:r>
      <w:r w:rsidR="00D342C1">
        <w:t>compagnies aériennes</w:t>
      </w:r>
      <w:r>
        <w:t xml:space="preserve"> utilisées, lorsque ceux-ci y deviennent disponibles</w:t>
      </w:r>
      <w:r w:rsidR="0078485A">
        <w:t>.</w:t>
      </w:r>
    </w:p>
    <w:p w14:paraId="43E4BCAD" w14:textId="77777777" w:rsidR="00A22FA5" w:rsidRDefault="00A22FA5" w:rsidP="008F6A08">
      <w:pPr>
        <w:spacing w:after="0" w:line="240" w:lineRule="auto"/>
        <w:jc w:val="both"/>
      </w:pPr>
    </w:p>
    <w:p w14:paraId="1456C06F" w14:textId="713A9CB6" w:rsidR="00495EC6" w:rsidRDefault="001B1B8A" w:rsidP="008F6A08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 w:rsidRPr="008D3739">
        <w:t>Conformément à la stratégie de réduction de l'empreinte carbone de l'entrep</w:t>
      </w:r>
      <w:r w:rsidR="00D67016" w:rsidRPr="008D3739">
        <w:t xml:space="preserve">rise, l'agence aide à évaluer l’impact </w:t>
      </w:r>
      <w:r w:rsidRPr="008D3739">
        <w:t>des voyages de la GIZ sur les GES (gaz à effets de serre). Lorsque c'est possible, l'agence priorise des alternatives moins polluantes sans coût</w:t>
      </w:r>
      <w:r w:rsidR="00D67016" w:rsidRPr="008D3739">
        <w:t>s</w:t>
      </w:r>
      <w:r w:rsidRPr="008D3739">
        <w:t xml:space="preserve"> supplémentaire</w:t>
      </w:r>
      <w:r w:rsidR="00D67016" w:rsidRPr="008D3739">
        <w:t>s</w:t>
      </w:r>
      <w:r w:rsidR="00D342C1" w:rsidRPr="006A516B">
        <w:rPr>
          <w:i/>
        </w:rPr>
        <w:t xml:space="preserve">. </w:t>
      </w:r>
    </w:p>
    <w:p w14:paraId="4FC75588" w14:textId="709AE115" w:rsidR="00655B15" w:rsidRDefault="00655B15" w:rsidP="008F6A08">
      <w:pPr>
        <w:spacing w:after="0" w:line="240" w:lineRule="auto"/>
        <w:jc w:val="both"/>
      </w:pPr>
    </w:p>
    <w:p w14:paraId="00B9E349" w14:textId="77777777" w:rsidR="006A516B" w:rsidRDefault="006A516B" w:rsidP="008F6A08">
      <w:pPr>
        <w:spacing w:after="0" w:line="240" w:lineRule="auto"/>
        <w:jc w:val="both"/>
      </w:pPr>
    </w:p>
    <w:p w14:paraId="12DBDD73" w14:textId="6B4EB2CE" w:rsidR="00505DBC" w:rsidRDefault="008D3739" w:rsidP="00686297">
      <w:pPr>
        <w:pStyle w:val="Sansinterligne"/>
      </w:pPr>
      <w:bookmarkStart w:id="13" w:name="_Toc33546615"/>
      <w:bookmarkStart w:id="14" w:name="_Toc34049106"/>
      <w:r>
        <w:t>R</w:t>
      </w:r>
      <w:r w:rsidR="0078485A">
        <w:t>esponsabilité</w:t>
      </w:r>
      <w:bookmarkEnd w:id="13"/>
      <w:r w:rsidR="00D342C1">
        <w:t>s</w:t>
      </w:r>
      <w:bookmarkEnd w:id="14"/>
      <w:r w:rsidR="00743D22">
        <w:t xml:space="preserve"> </w:t>
      </w:r>
    </w:p>
    <w:p w14:paraId="4C85AA3E" w14:textId="2CED2B93" w:rsidR="00BE218E" w:rsidRDefault="0078485A" w:rsidP="00247C39">
      <w:pPr>
        <w:pStyle w:val="Titre3"/>
      </w:pPr>
      <w:bookmarkStart w:id="15" w:name="_Toc33546616"/>
      <w:bookmarkStart w:id="16" w:name="_Toc34049107"/>
      <w:r>
        <w:t>Pour la GIZ</w:t>
      </w:r>
      <w:bookmarkEnd w:id="15"/>
      <w:bookmarkEnd w:id="16"/>
    </w:p>
    <w:p w14:paraId="6D2200D5" w14:textId="2C970600" w:rsidR="00247C39" w:rsidRPr="00701314" w:rsidRDefault="00743D22" w:rsidP="00B72077">
      <w:pPr>
        <w:pStyle w:val="Paragraphedeliste"/>
        <w:numPr>
          <w:ilvl w:val="0"/>
          <w:numId w:val="14"/>
        </w:numPr>
        <w:spacing w:after="0" w:line="240" w:lineRule="auto"/>
        <w:ind w:left="709"/>
        <w:jc w:val="both"/>
        <w:rPr>
          <w:color w:val="000000" w:themeColor="text1"/>
        </w:rPr>
      </w:pPr>
      <w:r w:rsidRPr="00701314">
        <w:rPr>
          <w:color w:val="000000" w:themeColor="text1"/>
        </w:rPr>
        <w:t>Le point focal de la GIZ pour la prestation est l</w:t>
      </w:r>
      <w:r w:rsidR="00B72077" w:rsidRPr="00701314">
        <w:rPr>
          <w:color w:val="000000" w:themeColor="text1"/>
        </w:rPr>
        <w:t>a</w:t>
      </w:r>
      <w:r w:rsidRPr="00701314">
        <w:rPr>
          <w:color w:val="000000" w:themeColor="text1"/>
        </w:rPr>
        <w:t xml:space="preserve"> </w:t>
      </w:r>
      <w:r w:rsidR="00B72077" w:rsidRPr="00701314">
        <w:rPr>
          <w:color w:val="000000" w:themeColor="text1"/>
        </w:rPr>
        <w:t>Responsable du Département ACE</w:t>
      </w:r>
      <w:r w:rsidR="00D67016" w:rsidRPr="00701314">
        <w:rPr>
          <w:color w:val="000000" w:themeColor="text1"/>
        </w:rPr>
        <w:t>,</w:t>
      </w:r>
      <w:r w:rsidR="004270FC" w:rsidRPr="00701314">
        <w:rPr>
          <w:color w:val="000000" w:themeColor="text1"/>
        </w:rPr>
        <w:t xml:space="preserve"> </w:t>
      </w:r>
      <w:r w:rsidRPr="00701314">
        <w:rPr>
          <w:color w:val="000000" w:themeColor="text1"/>
        </w:rPr>
        <w:t>et par délégation</w:t>
      </w:r>
      <w:r w:rsidR="00B72077" w:rsidRPr="00701314">
        <w:rPr>
          <w:color w:val="000000" w:themeColor="text1"/>
        </w:rPr>
        <w:t>,</w:t>
      </w:r>
      <w:r w:rsidRPr="00701314">
        <w:rPr>
          <w:color w:val="000000" w:themeColor="text1"/>
        </w:rPr>
        <w:t xml:space="preserve"> </w:t>
      </w:r>
      <w:r w:rsidR="00247C39" w:rsidRPr="00701314">
        <w:rPr>
          <w:color w:val="000000" w:themeColor="text1"/>
        </w:rPr>
        <w:t xml:space="preserve">la </w:t>
      </w:r>
      <w:r w:rsidR="00B72077" w:rsidRPr="00701314">
        <w:rPr>
          <w:color w:val="000000" w:themeColor="text1"/>
        </w:rPr>
        <w:t>Chargée des Evènements et Voyages</w:t>
      </w:r>
      <w:r w:rsidR="00701314">
        <w:rPr>
          <w:color w:val="000000" w:themeColor="text1"/>
        </w:rPr>
        <w:t>.</w:t>
      </w:r>
      <w:r w:rsidR="00B72077" w:rsidRPr="00701314">
        <w:rPr>
          <w:color w:val="000000" w:themeColor="text1"/>
        </w:rPr>
        <w:t xml:space="preserve"> </w:t>
      </w:r>
      <w:r w:rsidR="00247C39" w:rsidRPr="00701314">
        <w:rPr>
          <w:color w:val="000000" w:themeColor="text1"/>
        </w:rPr>
        <w:t xml:space="preserve"> </w:t>
      </w:r>
    </w:p>
    <w:p w14:paraId="6746AD46" w14:textId="5242C9E6" w:rsidR="00A85F05" w:rsidRDefault="008D3739" w:rsidP="00B72077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</w:t>
      </w:r>
      <w:r w:rsidR="00743D22">
        <w:t>a</w:t>
      </w:r>
      <w:r w:rsidR="00743D22" w:rsidRPr="00743D22">
        <w:t xml:space="preserve"> GIZ </w:t>
      </w:r>
      <w:r>
        <w:t xml:space="preserve">est libre de </w:t>
      </w:r>
      <w:r w:rsidR="00A85F05">
        <w:t xml:space="preserve">contrôler la compétitivité des prix avec </w:t>
      </w:r>
      <w:r w:rsidR="00D556F0">
        <w:t>d’autres prestataires ou compagnies aériennes.</w:t>
      </w:r>
    </w:p>
    <w:p w14:paraId="5F1B5BDC" w14:textId="77777777" w:rsidR="00247C39" w:rsidRDefault="00247C39" w:rsidP="00247C39">
      <w:pPr>
        <w:pStyle w:val="Paragraphedeliste"/>
      </w:pPr>
    </w:p>
    <w:p w14:paraId="285737CC" w14:textId="461798B1" w:rsidR="00A85F05" w:rsidRDefault="00A85F05" w:rsidP="003E4C04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La GIZ peut conclure des accords ou des achats p</w:t>
      </w:r>
      <w:r w:rsidR="00743D22" w:rsidRPr="00743D22">
        <w:t>articuliers po</w:t>
      </w:r>
      <w:r w:rsidR="00743D22">
        <w:t xml:space="preserve">rtant </w:t>
      </w:r>
      <w:r w:rsidR="00D00B00" w:rsidRPr="00247C39">
        <w:rPr>
          <w:i/>
        </w:rPr>
        <w:t xml:space="preserve">uniquement </w:t>
      </w:r>
      <w:r w:rsidR="00743D22" w:rsidRPr="00247C39">
        <w:rPr>
          <w:i/>
        </w:rPr>
        <w:t>sur des réductions de prix</w:t>
      </w:r>
      <w:r w:rsidR="005604AE">
        <w:t>,</w:t>
      </w:r>
      <w:r w:rsidR="00743D22">
        <w:t xml:space="preserve"> avec d’autres agences ou compagnie</w:t>
      </w:r>
      <w:r w:rsidR="00495EC6">
        <w:t xml:space="preserve">s </w:t>
      </w:r>
      <w:r w:rsidR="00D556F0">
        <w:t xml:space="preserve">aériennes </w:t>
      </w:r>
      <w:r w:rsidR="00D00B00">
        <w:t>à sa discrétion.</w:t>
      </w:r>
    </w:p>
    <w:p w14:paraId="12498CC1" w14:textId="77777777" w:rsidR="008D3739" w:rsidRDefault="008D3739" w:rsidP="008F6A08">
      <w:pPr>
        <w:pStyle w:val="Paragraphedeliste"/>
        <w:spacing w:after="0" w:line="240" w:lineRule="auto"/>
        <w:ind w:left="0"/>
        <w:jc w:val="both"/>
      </w:pPr>
    </w:p>
    <w:p w14:paraId="1AD4B4D6" w14:textId="767BFA85" w:rsidR="0078485A" w:rsidRDefault="0078485A" w:rsidP="00247C39">
      <w:pPr>
        <w:pStyle w:val="Titre3"/>
      </w:pPr>
      <w:bookmarkStart w:id="17" w:name="_Toc33546617"/>
      <w:bookmarkStart w:id="18" w:name="_Toc34049108"/>
      <w:r>
        <w:t>Pour l’agence</w:t>
      </w:r>
      <w:bookmarkEnd w:id="17"/>
      <w:bookmarkEnd w:id="18"/>
    </w:p>
    <w:p w14:paraId="1AF275E0" w14:textId="77777777" w:rsidR="00A92AD2" w:rsidRDefault="00A92AD2" w:rsidP="00A92AD2">
      <w:pPr>
        <w:pStyle w:val="Paragraphedeliste"/>
        <w:spacing w:after="0" w:line="240" w:lineRule="auto"/>
        <w:ind w:left="360"/>
        <w:jc w:val="both"/>
      </w:pPr>
    </w:p>
    <w:p w14:paraId="6F2C1670" w14:textId="6E6EB143" w:rsidR="00842D85" w:rsidRDefault="00842D85" w:rsidP="00A92AD2">
      <w:pPr>
        <w:pStyle w:val="Paragraphedeliste"/>
        <w:spacing w:after="0" w:line="240" w:lineRule="auto"/>
        <w:ind w:left="360"/>
        <w:jc w:val="both"/>
      </w:pPr>
      <w:r w:rsidRPr="006E0DA6">
        <w:t xml:space="preserve">Elle doit avoir </w:t>
      </w:r>
      <w:r w:rsidR="00A92AD2" w:rsidRPr="006E0DA6">
        <w:t>au moins</w:t>
      </w:r>
      <w:r w:rsidRPr="006E0DA6">
        <w:t xml:space="preserve"> </w:t>
      </w:r>
      <w:r w:rsidR="00641C21" w:rsidRPr="006E0DA6">
        <w:t>5</w:t>
      </w:r>
      <w:r w:rsidRPr="006E0DA6">
        <w:t xml:space="preserve"> ans </w:t>
      </w:r>
      <w:r w:rsidR="0033457E" w:rsidRPr="006E0DA6">
        <w:t>dans le domaine</w:t>
      </w:r>
      <w:r w:rsidR="00DF5097" w:rsidRPr="006E0DA6">
        <w:t xml:space="preserve"> et doit avoir fait au moins </w:t>
      </w:r>
      <w:r w:rsidR="006E0DA6" w:rsidRPr="006E0DA6">
        <w:t>un</w:t>
      </w:r>
      <w:r w:rsidR="0029616B" w:rsidRPr="006E0DA6">
        <w:t xml:space="preserve"> (</w:t>
      </w:r>
      <w:r w:rsidR="006E0DA6" w:rsidRPr="006E0DA6">
        <w:t>1</w:t>
      </w:r>
      <w:r w:rsidR="0029616B" w:rsidRPr="006E0DA6">
        <w:t xml:space="preserve">) </w:t>
      </w:r>
      <w:r w:rsidR="00DF5097" w:rsidRPr="006E0DA6">
        <w:t>contrat cadre av</w:t>
      </w:r>
      <w:r w:rsidR="0029616B" w:rsidRPr="006E0DA6">
        <w:t xml:space="preserve">ec </w:t>
      </w:r>
      <w:r w:rsidR="002751B2" w:rsidRPr="006E0DA6">
        <w:t>un autre organisme</w:t>
      </w:r>
      <w:r w:rsidR="00AA1A02" w:rsidRPr="006E0DA6">
        <w:t>, ONG ou institutions.</w:t>
      </w:r>
    </w:p>
    <w:p w14:paraId="0D46C624" w14:textId="77777777" w:rsidR="00842D85" w:rsidRPr="00842D85" w:rsidRDefault="00842D85" w:rsidP="00842D85"/>
    <w:p w14:paraId="02B5815B" w14:textId="5D3001F4" w:rsidR="004270FC" w:rsidRDefault="004270FC" w:rsidP="00BF35DE">
      <w:pPr>
        <w:pStyle w:val="Titre4"/>
      </w:pPr>
      <w:bookmarkStart w:id="19" w:name="_Toc34049109"/>
      <w:r w:rsidRPr="002673ED">
        <w:t>Concernant les billets</w:t>
      </w:r>
      <w:bookmarkEnd w:id="19"/>
      <w:r w:rsidRPr="002673ED">
        <w:t xml:space="preserve"> </w:t>
      </w:r>
    </w:p>
    <w:p w14:paraId="2E10EE8C" w14:textId="0ECA14DC" w:rsidR="00F518E4" w:rsidRDefault="006E3B96" w:rsidP="003E4C04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 w:rsidRPr="00A767D7">
        <w:t xml:space="preserve">L’agence doit négocier des rabais sur les tarifs standards </w:t>
      </w:r>
      <w:r w:rsidR="00A85F05" w:rsidRPr="00A767D7">
        <w:t xml:space="preserve">auprès des </w:t>
      </w:r>
      <w:r w:rsidRPr="00A767D7">
        <w:t>compagnies aériennes</w:t>
      </w:r>
      <w:r w:rsidR="00A85F05" w:rsidRPr="00A767D7">
        <w:t xml:space="preserve"> de catégorie A ou B</w:t>
      </w:r>
      <w:r w:rsidR="0028456F">
        <w:t>.</w:t>
      </w:r>
      <w:r w:rsidR="008D3739" w:rsidRPr="00A767D7">
        <w:t xml:space="preserve"> </w:t>
      </w:r>
    </w:p>
    <w:p w14:paraId="502DAEF1" w14:textId="77777777" w:rsidR="00A767D7" w:rsidRPr="00A767D7" w:rsidRDefault="00A767D7" w:rsidP="00A767D7">
      <w:pPr>
        <w:pStyle w:val="Paragraphedeliste"/>
        <w:spacing w:after="0" w:line="240" w:lineRule="auto"/>
        <w:jc w:val="both"/>
      </w:pPr>
    </w:p>
    <w:p w14:paraId="0CA1DEB5" w14:textId="368AC996" w:rsidR="009E7992" w:rsidRPr="00A767D7" w:rsidRDefault="009E7992" w:rsidP="003E4C04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 w:rsidRPr="00A767D7">
        <w:t>Toutes les</w:t>
      </w:r>
      <w:r w:rsidR="00DB4185" w:rsidRPr="00A767D7">
        <w:t xml:space="preserve"> incitations, </w:t>
      </w:r>
      <w:r w:rsidR="00D556F0" w:rsidRPr="00A767D7">
        <w:t xml:space="preserve">par exemple </w:t>
      </w:r>
      <w:r w:rsidR="00DB4185" w:rsidRPr="00A767D7">
        <w:t xml:space="preserve">sous forme </w:t>
      </w:r>
      <w:r w:rsidR="00D556F0" w:rsidRPr="00A767D7">
        <w:t>de</w:t>
      </w:r>
      <w:r w:rsidRPr="00A767D7">
        <w:t xml:space="preserve"> commissions</w:t>
      </w:r>
      <w:r w:rsidR="00D556F0" w:rsidRPr="00A767D7">
        <w:t xml:space="preserve"> standard</w:t>
      </w:r>
      <w:r w:rsidR="00F36427" w:rsidRPr="00A767D7">
        <w:t>s</w:t>
      </w:r>
      <w:r w:rsidR="00D556F0" w:rsidRPr="00A767D7">
        <w:t xml:space="preserve"> ou en </w:t>
      </w:r>
      <w:r w:rsidR="007A7065" w:rsidRPr="00A767D7">
        <w:t>sur</w:t>
      </w:r>
      <w:r w:rsidR="007A7065">
        <w:t>p</w:t>
      </w:r>
      <w:r w:rsidR="007A7065" w:rsidRPr="00A767D7">
        <w:t>rime</w:t>
      </w:r>
      <w:r w:rsidR="00F36427" w:rsidRPr="00A767D7">
        <w:t>,</w:t>
      </w:r>
      <w:r w:rsidR="00D556F0" w:rsidRPr="00A767D7">
        <w:t xml:space="preserve"> </w:t>
      </w:r>
      <w:r w:rsidRPr="00A767D7">
        <w:t xml:space="preserve">versées par les compagnies aériennes, les hôtels </w:t>
      </w:r>
      <w:r w:rsidR="00F36427" w:rsidRPr="00A767D7">
        <w:t xml:space="preserve">et </w:t>
      </w:r>
      <w:r w:rsidR="00A86C01">
        <w:t xml:space="preserve">qui sont </w:t>
      </w:r>
      <w:r w:rsidRPr="00A767D7">
        <w:t>lié</w:t>
      </w:r>
      <w:r w:rsidR="00F36427" w:rsidRPr="00A767D7">
        <w:t>e</w:t>
      </w:r>
      <w:r w:rsidRPr="00A767D7">
        <w:t xml:space="preserve">s au contrat avec la GIZ, seront intégralement transférés à la GIZ </w:t>
      </w:r>
      <w:r w:rsidR="004270FC" w:rsidRPr="00A767D7">
        <w:t xml:space="preserve">au </w:t>
      </w:r>
      <w:r w:rsidR="0014592F" w:rsidRPr="00A767D7">
        <w:t>Niger</w:t>
      </w:r>
      <w:r w:rsidR="00DE5181" w:rsidRPr="00A767D7">
        <w:t>.</w:t>
      </w:r>
    </w:p>
    <w:p w14:paraId="06011C09" w14:textId="77777777" w:rsidR="00DE5181" w:rsidRPr="00A767D7" w:rsidRDefault="00DE5181" w:rsidP="00DE5181">
      <w:pPr>
        <w:pStyle w:val="Paragraphedeliste"/>
        <w:spacing w:after="0" w:line="240" w:lineRule="auto"/>
        <w:jc w:val="both"/>
      </w:pPr>
    </w:p>
    <w:p w14:paraId="163BF228" w14:textId="6F692225" w:rsidR="006E3B96" w:rsidRPr="00A767D7" w:rsidRDefault="006E3B96" w:rsidP="003E4C04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 w:rsidRPr="00A767D7">
        <w:t>L’agence avise la GIZ sur les pratiques et tendances du marché qui pourrai</w:t>
      </w:r>
      <w:r w:rsidR="00DB4185" w:rsidRPr="00A767D7">
        <w:t>en</w:t>
      </w:r>
      <w:r w:rsidRPr="00A767D7">
        <w:t>t entraîner des économies, y compris l'utilisation d’outils spécifiques de réservation de voyage</w:t>
      </w:r>
      <w:r w:rsidR="00871EB8" w:rsidRPr="00A767D7">
        <w:t xml:space="preserve">. </w:t>
      </w:r>
    </w:p>
    <w:p w14:paraId="262CC812" w14:textId="77777777" w:rsidR="00DE5181" w:rsidRPr="00DE5181" w:rsidRDefault="00DE5181" w:rsidP="00DE5181">
      <w:pPr>
        <w:pStyle w:val="Paragraphedeliste"/>
        <w:rPr>
          <w:highlight w:val="yellow"/>
        </w:rPr>
      </w:pPr>
    </w:p>
    <w:p w14:paraId="2B3954FF" w14:textId="77777777" w:rsidR="00573F40" w:rsidRDefault="006E3B96" w:rsidP="003E4C04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 w:rsidRPr="006E3B96">
        <w:t>L’agence sera responsable de tous les coûts associés à l’annulation et / ou des modifications de billet</w:t>
      </w:r>
      <w:r w:rsidR="00DB4185">
        <w:t>s</w:t>
      </w:r>
      <w:r w:rsidRPr="006E3B96">
        <w:t xml:space="preserve"> qui ne sont pas causés par la GIZ</w:t>
      </w:r>
      <w:r w:rsidR="00573F40">
        <w:t>.</w:t>
      </w:r>
    </w:p>
    <w:p w14:paraId="0124252B" w14:textId="2ED1370A" w:rsidR="006541A3" w:rsidRDefault="006E3B96" w:rsidP="00573F40">
      <w:pPr>
        <w:pStyle w:val="Paragraphedeliste"/>
        <w:spacing w:after="0" w:line="240" w:lineRule="auto"/>
        <w:jc w:val="both"/>
      </w:pPr>
      <w:r w:rsidRPr="006E3B96">
        <w:t xml:space="preserve"> </w:t>
      </w:r>
      <w:bookmarkStart w:id="20" w:name="_Toc6341573"/>
    </w:p>
    <w:p w14:paraId="6B50BA0C" w14:textId="517E96B9" w:rsidR="006541A3" w:rsidRDefault="006541A3" w:rsidP="003E4C04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 xml:space="preserve">Les billets peuvent, en fonction de la durée du vol, être achetés dans les classes </w:t>
      </w:r>
      <w:r w:rsidR="00ED7270">
        <w:t>suivantes :</w:t>
      </w:r>
    </w:p>
    <w:p w14:paraId="1981E7C2" w14:textId="77777777" w:rsidR="00573F40" w:rsidRDefault="00573F40" w:rsidP="00573F40">
      <w:pPr>
        <w:pStyle w:val="Paragraphedeliste"/>
      </w:pPr>
    </w:p>
    <w:p w14:paraId="70574021" w14:textId="2E57576D" w:rsidR="00ED7270" w:rsidRDefault="006541A3" w:rsidP="003E4C04">
      <w:pPr>
        <w:pStyle w:val="Paragraphedeliste"/>
        <w:numPr>
          <w:ilvl w:val="1"/>
          <w:numId w:val="15"/>
        </w:numPr>
        <w:spacing w:after="0" w:line="240" w:lineRule="auto"/>
      </w:pPr>
      <w:r w:rsidRPr="00362053">
        <w:rPr>
          <w:b/>
        </w:rPr>
        <w:t>Classe économique</w:t>
      </w:r>
      <w:r>
        <w:t xml:space="preserve"> pour les vols d’une d</w:t>
      </w:r>
      <w:r w:rsidR="00ED7270">
        <w:t xml:space="preserve">urée inférieure à </w:t>
      </w:r>
      <w:r w:rsidR="00573F40">
        <w:t>six (6)</w:t>
      </w:r>
      <w:r w:rsidR="00ED7270">
        <w:t xml:space="preserve"> heures</w:t>
      </w:r>
      <w:r w:rsidR="00573F40">
        <w:t>.</w:t>
      </w:r>
    </w:p>
    <w:p w14:paraId="05289C91" w14:textId="77777777" w:rsidR="00573F40" w:rsidRDefault="00573F40" w:rsidP="008F6A08">
      <w:pPr>
        <w:spacing w:after="0" w:line="240" w:lineRule="auto"/>
        <w:ind w:hanging="425"/>
      </w:pPr>
    </w:p>
    <w:p w14:paraId="46E0DEC5" w14:textId="04355369" w:rsidR="00ED7270" w:rsidRDefault="006541A3" w:rsidP="003E4C04">
      <w:pPr>
        <w:pStyle w:val="Paragraphedeliste"/>
        <w:numPr>
          <w:ilvl w:val="1"/>
          <w:numId w:val="15"/>
        </w:numPr>
        <w:spacing w:after="0" w:line="240" w:lineRule="auto"/>
        <w:jc w:val="both"/>
      </w:pPr>
      <w:r w:rsidRPr="00362053">
        <w:rPr>
          <w:b/>
        </w:rPr>
        <w:t xml:space="preserve">Classe </w:t>
      </w:r>
      <w:r w:rsidR="00ED7270" w:rsidRPr="00362053">
        <w:rPr>
          <w:b/>
        </w:rPr>
        <w:t>premium ou classe affaire :</w:t>
      </w:r>
      <w:r>
        <w:t xml:space="preserve"> au choix, pour les vols d’une durée supérieure à </w:t>
      </w:r>
      <w:r w:rsidR="00573F40">
        <w:t xml:space="preserve">six (6) </w:t>
      </w:r>
      <w:r>
        <w:t xml:space="preserve">heures. </w:t>
      </w:r>
      <w:r w:rsidR="00ED7270">
        <w:t>Le sur</w:t>
      </w:r>
      <w:r w:rsidR="0014251C">
        <w:t>-</w:t>
      </w:r>
      <w:r w:rsidR="00ED7270">
        <w:t xml:space="preserve">classement sera confirmé par le </w:t>
      </w:r>
      <w:r w:rsidR="00573F40">
        <w:t>point focal</w:t>
      </w:r>
      <w:r>
        <w:t>. Le seuil de durée (</w:t>
      </w:r>
      <w:r w:rsidR="00362053">
        <w:t>6</w:t>
      </w:r>
      <w:r>
        <w:t xml:space="preserve"> heures) se réfère au temps de vol net, escales non compr</w:t>
      </w:r>
      <w:r w:rsidR="00ED7270">
        <w:t>ises. Lorsque l’escale est une nuitée, la nuitée est considérée comme une interruption de vol,</w:t>
      </w:r>
      <w:r w:rsidR="0014251C">
        <w:t xml:space="preserve"> et</w:t>
      </w:r>
      <w:r w:rsidR="00ED7270">
        <w:t xml:space="preserve"> </w:t>
      </w:r>
      <w:r>
        <w:t xml:space="preserve">la durée de </w:t>
      </w:r>
      <w:r w:rsidRPr="00ED7270">
        <w:t>chaque trajet partiel est alors prise</w:t>
      </w:r>
      <w:r w:rsidR="00ED7270">
        <w:t xml:space="preserve"> en compte individuellement.</w:t>
      </w:r>
    </w:p>
    <w:p w14:paraId="6C1852D4" w14:textId="77777777" w:rsidR="00362053" w:rsidRDefault="00362053" w:rsidP="008F6A08">
      <w:pPr>
        <w:spacing w:after="0" w:line="240" w:lineRule="auto"/>
        <w:ind w:hanging="425"/>
        <w:jc w:val="both"/>
      </w:pPr>
    </w:p>
    <w:p w14:paraId="0AF25BC9" w14:textId="0DDB86A7" w:rsidR="00592402" w:rsidRDefault="00ED7270" w:rsidP="003E4C04">
      <w:pPr>
        <w:pStyle w:val="Paragraphedeliste"/>
        <w:numPr>
          <w:ilvl w:val="1"/>
          <w:numId w:val="15"/>
        </w:numPr>
        <w:spacing w:after="0" w:line="240" w:lineRule="auto"/>
        <w:jc w:val="both"/>
      </w:pPr>
      <w:r w:rsidRPr="00362053">
        <w:rPr>
          <w:b/>
        </w:rPr>
        <w:t>Première classe :</w:t>
      </w:r>
      <w:r w:rsidRPr="00ED7270">
        <w:t xml:space="preserve"> Aucune réservation en première classe</w:t>
      </w:r>
      <w:r w:rsidR="00907EC8">
        <w:t xml:space="preserve">, même </w:t>
      </w:r>
      <w:r w:rsidRPr="00ED7270">
        <w:t>par financement</w:t>
      </w:r>
      <w:r w:rsidR="00153D1A">
        <w:t xml:space="preserve"> du</w:t>
      </w:r>
      <w:r w:rsidR="00592402">
        <w:t xml:space="preserve"> complément</w:t>
      </w:r>
      <w:r w:rsidRPr="00ED7270">
        <w:t xml:space="preserve"> avec des moyens propres, utilisation de miles, peu importe que ceux-ci aient été acquis lors de voyages d’affaires ou à titre privé, n’est autorisé. </w:t>
      </w:r>
    </w:p>
    <w:p w14:paraId="5CCC4C61" w14:textId="77777777" w:rsidR="00362053" w:rsidRDefault="00362053" w:rsidP="008F6A08">
      <w:pPr>
        <w:spacing w:after="0" w:line="240" w:lineRule="auto"/>
        <w:ind w:hanging="425"/>
        <w:jc w:val="both"/>
      </w:pPr>
    </w:p>
    <w:p w14:paraId="448E9D6A" w14:textId="678E380E" w:rsidR="00ED7270" w:rsidRDefault="00592402" w:rsidP="008F6A08">
      <w:pPr>
        <w:spacing w:after="0" w:line="240" w:lineRule="auto"/>
        <w:jc w:val="both"/>
      </w:pPr>
      <w:r w:rsidRPr="0014251C">
        <w:rPr>
          <w:b/>
        </w:rPr>
        <w:t xml:space="preserve">Note !!! </w:t>
      </w:r>
      <w:r w:rsidR="00ED7270" w:rsidRPr="00ED7270">
        <w:t>Les billets sont</w:t>
      </w:r>
      <w:r w:rsidR="00ED7270">
        <w:t xml:space="preserve"> surclassés en classe immédiatement supérieure, </w:t>
      </w:r>
      <w:r>
        <w:t xml:space="preserve">quel que soit la classe, </w:t>
      </w:r>
      <w:r w:rsidR="00ED7270">
        <w:t xml:space="preserve">si cette possibilité est gracieusement </w:t>
      </w:r>
      <w:r w:rsidR="00CC700A">
        <w:t xml:space="preserve">offerte </w:t>
      </w:r>
      <w:r w:rsidR="00ED7270">
        <w:t>par la compagnie aérienne en raison d’une surréservation.</w:t>
      </w:r>
    </w:p>
    <w:p w14:paraId="7BDFC93F" w14:textId="77777777" w:rsidR="002E0C32" w:rsidRDefault="002E0C32" w:rsidP="008F6A08">
      <w:pPr>
        <w:spacing w:after="0" w:line="240" w:lineRule="auto"/>
        <w:jc w:val="both"/>
      </w:pPr>
    </w:p>
    <w:p w14:paraId="459AA682" w14:textId="23812D16" w:rsidR="00BC501E" w:rsidRDefault="00BC501E" w:rsidP="00EE73BA">
      <w:pPr>
        <w:pStyle w:val="Titre4"/>
      </w:pPr>
      <w:bookmarkStart w:id="21" w:name="_Toc34049110"/>
      <w:r>
        <w:t>Suivi</w:t>
      </w:r>
      <w:bookmarkEnd w:id="21"/>
    </w:p>
    <w:p w14:paraId="33BD0CDD" w14:textId="781BD9DF" w:rsidR="00E11C16" w:rsidRDefault="00BC501E" w:rsidP="008F6A08">
      <w:pPr>
        <w:pStyle w:val="Paragraphedeliste"/>
        <w:spacing w:after="0" w:line="240" w:lineRule="auto"/>
        <w:ind w:left="0"/>
        <w:jc w:val="both"/>
      </w:pPr>
      <w:r>
        <w:t>La GIZ et l’agence opère</w:t>
      </w:r>
      <w:r w:rsidR="00F64FEA">
        <w:t>nt</w:t>
      </w:r>
      <w:r>
        <w:t xml:space="preserve"> un suivi en temps réel</w:t>
      </w:r>
      <w:r w:rsidR="008D3739">
        <w:t xml:space="preserve"> des prestations offertes à la GIZ</w:t>
      </w:r>
      <w:r>
        <w:t xml:space="preserve">. Pour cela, </w:t>
      </w:r>
      <w:r w:rsidR="00E11C16">
        <w:t>les deux parties s’accordent sur un format unique d’un fichier électronique de décompte. Le</w:t>
      </w:r>
      <w:r>
        <w:t xml:space="preserve"> </w:t>
      </w:r>
      <w:r w:rsidRPr="001936C6">
        <w:rPr>
          <w:i/>
        </w:rPr>
        <w:t>fichier électronique de décompte</w:t>
      </w:r>
      <w:r>
        <w:t xml:space="preserve"> </w:t>
      </w:r>
      <w:r w:rsidR="00E11C16">
        <w:t xml:space="preserve">liste </w:t>
      </w:r>
      <w:r>
        <w:t xml:space="preserve">tous les billets émis, avec leur prix et la possibilité de filtrer par </w:t>
      </w:r>
      <w:r w:rsidR="001936C6">
        <w:t>destination</w:t>
      </w:r>
      <w:r>
        <w:t>, par compagnies aériennes et par numéro d</w:t>
      </w:r>
      <w:r w:rsidR="00CC700A">
        <w:t xml:space="preserve">e </w:t>
      </w:r>
      <w:r w:rsidR="001936C6">
        <w:t>bon de commande</w:t>
      </w:r>
      <w:r>
        <w:t>.</w:t>
      </w:r>
      <w:r w:rsidR="00E6077D">
        <w:t xml:space="preserve"> </w:t>
      </w:r>
      <w:r w:rsidR="00E6077D" w:rsidRPr="001936C6">
        <w:rPr>
          <w:i/>
          <w:iCs/>
        </w:rPr>
        <w:t>De plus le fichier indique</w:t>
      </w:r>
      <w:r w:rsidR="00E11C16" w:rsidRPr="001936C6">
        <w:rPr>
          <w:i/>
          <w:iCs/>
        </w:rPr>
        <w:t xml:space="preserve"> par une légende par exemple, ou une colonne,</w:t>
      </w:r>
      <w:r w:rsidR="00E6077D" w:rsidRPr="001936C6">
        <w:rPr>
          <w:i/>
          <w:iCs/>
        </w:rPr>
        <w:t xml:space="preserve"> les billets non utilisés ou déclassés, les frais d’annulation ou de modification perçus par les compagnies aériennes</w:t>
      </w:r>
      <w:r w:rsidR="00E11C16" w:rsidRPr="001936C6">
        <w:rPr>
          <w:i/>
          <w:iCs/>
        </w:rPr>
        <w:t>,</w:t>
      </w:r>
      <w:r w:rsidR="00E6077D" w:rsidRPr="001936C6">
        <w:rPr>
          <w:i/>
          <w:iCs/>
        </w:rPr>
        <w:t xml:space="preserve"> du fait de l’agence ou de la GIZ</w:t>
      </w:r>
      <w:r w:rsidR="00E6077D">
        <w:t xml:space="preserve">. </w:t>
      </w:r>
      <w:r>
        <w:t>Le fichier</w:t>
      </w:r>
      <w:r w:rsidR="00CC700A">
        <w:t xml:space="preserve"> est continuellement mis à jour</w:t>
      </w:r>
      <w:r w:rsidR="00E11C16">
        <w:t xml:space="preserve"> par chaque partie et permet de faire des rapprochements. Il doit être </w:t>
      </w:r>
      <w:r w:rsidR="00CC700A">
        <w:t>immédiatement disponible sur demande</w:t>
      </w:r>
      <w:r w:rsidR="00E6077D">
        <w:t xml:space="preserve"> du</w:t>
      </w:r>
      <w:r w:rsidR="001936C6">
        <w:t xml:space="preserve"> ou de la </w:t>
      </w:r>
      <w:r w:rsidR="001936C6" w:rsidRPr="004270FC">
        <w:t xml:space="preserve">Directeur </w:t>
      </w:r>
      <w:r w:rsidR="001936C6">
        <w:t xml:space="preserve">(trice) </w:t>
      </w:r>
      <w:r w:rsidR="00CC700A" w:rsidRPr="004270FC">
        <w:t>Administratif</w:t>
      </w:r>
      <w:r w:rsidR="001936C6">
        <w:t xml:space="preserve"> (ve)</w:t>
      </w:r>
      <w:r w:rsidR="00CC700A" w:rsidRPr="004270FC">
        <w:t xml:space="preserve"> et Financier</w:t>
      </w:r>
      <w:r w:rsidR="001936C6">
        <w:t xml:space="preserve"> (ère)</w:t>
      </w:r>
      <w:r w:rsidR="00E11C16">
        <w:t>.</w:t>
      </w:r>
    </w:p>
    <w:p w14:paraId="6AEDD9E3" w14:textId="2CDD6E09" w:rsidR="00BC501E" w:rsidRPr="00BC501E" w:rsidRDefault="00BC501E" w:rsidP="008F6A08">
      <w:pPr>
        <w:spacing w:after="0" w:line="240" w:lineRule="auto"/>
      </w:pPr>
    </w:p>
    <w:p w14:paraId="374FCC44" w14:textId="00197FDE" w:rsidR="002E0C32" w:rsidRDefault="002E0C32" w:rsidP="00F64FEA">
      <w:pPr>
        <w:pStyle w:val="Titre4"/>
      </w:pPr>
      <w:bookmarkStart w:id="22" w:name="_Toc34049111"/>
      <w:r w:rsidRPr="002673ED">
        <w:t>Préfinancement des billets</w:t>
      </w:r>
      <w:bookmarkEnd w:id="22"/>
    </w:p>
    <w:p w14:paraId="0F1D5A59" w14:textId="45AD3B46" w:rsidR="00D00B00" w:rsidRDefault="00D00B00" w:rsidP="003E4C04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>
        <w:t xml:space="preserve">L’agence </w:t>
      </w:r>
      <w:r w:rsidRPr="00AE318F">
        <w:t>sera responsable du règlement de tous les paiements</w:t>
      </w:r>
      <w:r w:rsidR="00CC700A">
        <w:t xml:space="preserve"> </w:t>
      </w:r>
      <w:r>
        <w:t>autorisé</w:t>
      </w:r>
      <w:r w:rsidR="00CC700A">
        <w:t>s</w:t>
      </w:r>
      <w:r>
        <w:t xml:space="preserve"> par bon de commande par la GIZ</w:t>
      </w:r>
      <w:r w:rsidR="00D26FD9">
        <w:t>.</w:t>
      </w:r>
    </w:p>
    <w:p w14:paraId="21C7C991" w14:textId="77777777" w:rsidR="00D26FD9" w:rsidRDefault="00D26FD9" w:rsidP="00D26FD9">
      <w:pPr>
        <w:pStyle w:val="Paragraphedeliste"/>
        <w:spacing w:after="0" w:line="240" w:lineRule="auto"/>
        <w:ind w:left="360"/>
        <w:jc w:val="both"/>
      </w:pPr>
    </w:p>
    <w:p w14:paraId="314B5329" w14:textId="3FF4CAED" w:rsidR="00D00B00" w:rsidRDefault="00AE318F" w:rsidP="003E4C04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 w:rsidRPr="00AE318F">
        <w:t xml:space="preserve">L’agence </w:t>
      </w:r>
      <w:r w:rsidR="00D00B00">
        <w:t>fournira les billets et soumettra les factures à la GIZ suivant une périodicité à convenir</w:t>
      </w:r>
      <w:r w:rsidR="00E6077D">
        <w:t xml:space="preserve"> et qui ne saurait dépasser un (01) mois.</w:t>
      </w:r>
    </w:p>
    <w:p w14:paraId="2C5D239C" w14:textId="45628745" w:rsidR="004270FC" w:rsidRDefault="004270FC" w:rsidP="008F6A08">
      <w:pPr>
        <w:pStyle w:val="Paragraphedeliste"/>
        <w:spacing w:after="0" w:line="240" w:lineRule="auto"/>
        <w:ind w:left="0"/>
        <w:jc w:val="both"/>
      </w:pPr>
    </w:p>
    <w:p w14:paraId="6FEC3216" w14:textId="14869D91" w:rsidR="004270FC" w:rsidRPr="002673ED" w:rsidRDefault="004270FC" w:rsidP="00BC07EC">
      <w:pPr>
        <w:pStyle w:val="Titre4"/>
      </w:pPr>
      <w:bookmarkStart w:id="23" w:name="_Toc34049112"/>
      <w:r w:rsidRPr="002673ED">
        <w:t>Concernant la communication</w:t>
      </w:r>
      <w:bookmarkEnd w:id="23"/>
    </w:p>
    <w:p w14:paraId="7F695353" w14:textId="57E1B018" w:rsidR="004270FC" w:rsidRDefault="004270FC" w:rsidP="003E4C0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i/>
        </w:rPr>
      </w:pPr>
      <w:r>
        <w:t>L’agence désigne un point</w:t>
      </w:r>
      <w:r w:rsidR="00D00B00">
        <w:t xml:space="preserve"> focal pour la mise en œuvre de la prestation</w:t>
      </w:r>
      <w:r>
        <w:t>. Ce dernier justifie d’un</w:t>
      </w:r>
      <w:r w:rsidR="007B5C97">
        <w:t xml:space="preserve">e formation </w:t>
      </w:r>
      <w:r w:rsidRPr="00743D22">
        <w:t>IATA</w:t>
      </w:r>
      <w:r>
        <w:t xml:space="preserve">, </w:t>
      </w:r>
      <w:r w:rsidR="00E11C16">
        <w:t>avec au m</w:t>
      </w:r>
      <w:r>
        <w:t>oins 4</w:t>
      </w:r>
      <w:r w:rsidRPr="00743D22">
        <w:t xml:space="preserve"> ans d'expérience dans la réservation </w:t>
      </w:r>
      <w:r>
        <w:t>de billet</w:t>
      </w:r>
      <w:r w:rsidR="00592402">
        <w:t>s</w:t>
      </w:r>
      <w:r w:rsidR="00E6077D">
        <w:t xml:space="preserve"> d’avion</w:t>
      </w:r>
      <w:r w:rsidR="00592402">
        <w:t xml:space="preserve">. Le point focal de l’agence doit avoir toutes les autorisations </w:t>
      </w:r>
      <w:r w:rsidR="00D00B00">
        <w:t xml:space="preserve">pour prendre </w:t>
      </w:r>
      <w:r w:rsidR="00592402">
        <w:t xml:space="preserve">des </w:t>
      </w:r>
      <w:r>
        <w:t>décisions</w:t>
      </w:r>
      <w:r w:rsidR="00E11C16">
        <w:t xml:space="preserve"> au nom de l’agence, émettre et annuler des billets. </w:t>
      </w:r>
      <w:r w:rsidR="00E6077D" w:rsidRPr="00BC07EC">
        <w:rPr>
          <w:i/>
        </w:rPr>
        <w:t>Le point focal peut en même temps être le contact permanemment disponible ou le contact d’urgence.</w:t>
      </w:r>
    </w:p>
    <w:p w14:paraId="082D6F13" w14:textId="77777777" w:rsidR="00BC07EC" w:rsidRPr="00BC07EC" w:rsidRDefault="00BC07EC" w:rsidP="00BC07EC">
      <w:pPr>
        <w:pStyle w:val="Paragraphedeliste"/>
        <w:spacing w:after="0" w:line="240" w:lineRule="auto"/>
        <w:ind w:left="360"/>
        <w:jc w:val="both"/>
        <w:rPr>
          <w:i/>
        </w:rPr>
      </w:pPr>
    </w:p>
    <w:p w14:paraId="72B85C03" w14:textId="72864562" w:rsidR="003E487F" w:rsidRDefault="00E6077D" w:rsidP="003E4C04">
      <w:pPr>
        <w:pStyle w:val="Paragraphedeliste"/>
        <w:numPr>
          <w:ilvl w:val="0"/>
          <w:numId w:val="17"/>
        </w:numPr>
        <w:spacing w:after="0" w:line="240" w:lineRule="auto"/>
        <w:jc w:val="both"/>
      </w:pPr>
      <w:r>
        <w:t>L’</w:t>
      </w:r>
      <w:r w:rsidR="004270FC">
        <w:t xml:space="preserve">agence </w:t>
      </w:r>
      <w:r>
        <w:t xml:space="preserve">communique </w:t>
      </w:r>
      <w:r w:rsidR="003E487F">
        <w:t>un</w:t>
      </w:r>
      <w:r w:rsidR="00D00B00">
        <w:t xml:space="preserve"> contact mail</w:t>
      </w:r>
      <w:r>
        <w:t xml:space="preserve"> dans le formulaire </w:t>
      </w:r>
      <w:r w:rsidRPr="007F2493">
        <w:rPr>
          <w:b/>
          <w:bCs/>
        </w:rPr>
        <w:t>A</w:t>
      </w:r>
      <w:r w:rsidR="007F2493" w:rsidRPr="007F2493">
        <w:rPr>
          <w:b/>
          <w:bCs/>
        </w:rPr>
        <w:t>1</w:t>
      </w:r>
      <w:r w:rsidR="00E11C16">
        <w:t>. Ce mail servira pour la communication entre la GIZ et l’agence de voyage</w:t>
      </w:r>
      <w:r w:rsidR="003E487F">
        <w:t>.</w:t>
      </w:r>
    </w:p>
    <w:p w14:paraId="3A1D2921" w14:textId="77777777" w:rsidR="001A5117" w:rsidRDefault="001A5117" w:rsidP="008F6A08">
      <w:pPr>
        <w:pStyle w:val="Paragraphedeliste"/>
        <w:spacing w:after="0" w:line="240" w:lineRule="auto"/>
        <w:ind w:left="0"/>
        <w:jc w:val="both"/>
      </w:pPr>
    </w:p>
    <w:p w14:paraId="168D070E" w14:textId="5BD35081" w:rsidR="004270FC" w:rsidRPr="002673ED" w:rsidRDefault="004270FC" w:rsidP="009E7911">
      <w:pPr>
        <w:pStyle w:val="Titre4"/>
      </w:pPr>
      <w:bookmarkStart w:id="24" w:name="_Toc34049113"/>
      <w:r w:rsidRPr="002673ED">
        <w:t>Rapport et audit</w:t>
      </w:r>
      <w:bookmarkEnd w:id="24"/>
    </w:p>
    <w:p w14:paraId="5F192DF7" w14:textId="591BF332" w:rsidR="001A5117" w:rsidRDefault="001A5117" w:rsidP="003E4C04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 xml:space="preserve">L’agence doit présenter </w:t>
      </w:r>
      <w:r w:rsidRPr="00FA5ECC">
        <w:t xml:space="preserve">un rapport trimestriel </w:t>
      </w:r>
      <w:r w:rsidR="00592402" w:rsidRPr="00FA5ECC">
        <w:t>composé comme</w:t>
      </w:r>
      <w:r w:rsidR="00592402">
        <w:t xml:space="preserve"> suit</w:t>
      </w:r>
      <w:r w:rsidR="009E7911">
        <w:t xml:space="preserve"> : </w:t>
      </w:r>
    </w:p>
    <w:p w14:paraId="204D98A4" w14:textId="77777777" w:rsidR="009E7911" w:rsidRDefault="009E7911" w:rsidP="009E7911">
      <w:pPr>
        <w:spacing w:after="0" w:line="240" w:lineRule="auto"/>
        <w:jc w:val="both"/>
      </w:pPr>
    </w:p>
    <w:p w14:paraId="6DEF8C8D" w14:textId="40DBCE7E" w:rsidR="00592402" w:rsidRDefault="003E487F" w:rsidP="003E4C04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D</w:t>
      </w:r>
      <w:r w:rsidR="00592402">
        <w:t>u n</w:t>
      </w:r>
      <w:r w:rsidR="001A5117">
        <w:t xml:space="preserve">ombre total de billets consommés </w:t>
      </w:r>
      <w:r w:rsidR="00592402">
        <w:t>avec le volume financier correspondant</w:t>
      </w:r>
      <w:r w:rsidR="009E7911">
        <w:t>.</w:t>
      </w:r>
    </w:p>
    <w:p w14:paraId="45D9A6BA" w14:textId="06344B14" w:rsidR="00E11C16" w:rsidRDefault="003E487F" w:rsidP="003E4C04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 xml:space="preserve">Des cinq </w:t>
      </w:r>
      <w:r w:rsidR="00DA10FF">
        <w:t xml:space="preserve">(5) </w:t>
      </w:r>
      <w:r>
        <w:t xml:space="preserve">compagnies aériennes les plus utilisés par la GIZ, </w:t>
      </w:r>
      <w:r w:rsidR="00E11C16" w:rsidRPr="003E3B86">
        <w:t>classé</w:t>
      </w:r>
      <w:r w:rsidR="00E11C16">
        <w:t>es</w:t>
      </w:r>
      <w:r w:rsidR="00E11C16" w:rsidRPr="003E3B86">
        <w:t xml:space="preserve"> par ordre décroissant</w:t>
      </w:r>
      <w:r w:rsidR="00E11C16">
        <w:t xml:space="preserve"> selon </w:t>
      </w:r>
      <w:r>
        <w:t xml:space="preserve">le volume </w:t>
      </w:r>
      <w:r w:rsidRPr="003E3B86">
        <w:t xml:space="preserve">financier </w:t>
      </w:r>
      <w:r w:rsidR="00E11C16">
        <w:t>mis en œuvre avec chacune</w:t>
      </w:r>
      <w:r w:rsidR="009E7911">
        <w:t>.</w:t>
      </w:r>
    </w:p>
    <w:p w14:paraId="5D8D2D6C" w14:textId="1051C5A3" w:rsidR="003E487F" w:rsidRDefault="003E487F" w:rsidP="003E4C04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Du nombre de billets non utilisés et leur destination</w:t>
      </w:r>
      <w:r w:rsidR="009E7911">
        <w:t>.</w:t>
      </w:r>
    </w:p>
    <w:p w14:paraId="29C87CAA" w14:textId="77777777" w:rsidR="009E7911" w:rsidRDefault="00E11C16" w:rsidP="003E4C04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 xml:space="preserve">Décompte contradictoire </w:t>
      </w:r>
      <w:r w:rsidR="003E487F">
        <w:t>des remboursements à la GIZ</w:t>
      </w:r>
      <w:r w:rsidR="009E7911">
        <w:t>.</w:t>
      </w:r>
    </w:p>
    <w:p w14:paraId="1104ACFD" w14:textId="24FA1A1C" w:rsidR="003E487F" w:rsidRDefault="003E487F" w:rsidP="009E7911">
      <w:pPr>
        <w:pStyle w:val="Paragraphedeliste"/>
        <w:spacing w:after="0" w:line="240" w:lineRule="auto"/>
        <w:jc w:val="both"/>
      </w:pPr>
      <w:r>
        <w:t xml:space="preserve"> </w:t>
      </w:r>
    </w:p>
    <w:p w14:paraId="028BF724" w14:textId="00CCF438" w:rsidR="007C0B76" w:rsidRPr="003E3B86" w:rsidRDefault="001A5117" w:rsidP="00DA10FF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 w:rsidRPr="003E3B86">
        <w:t>L’agence s'e</w:t>
      </w:r>
      <w:r w:rsidR="003E487F">
        <w:t>ngage à coopérer avec des auditeurs</w:t>
      </w:r>
      <w:r w:rsidRPr="003E3B86">
        <w:t xml:space="preserve"> indépendants </w:t>
      </w:r>
      <w:r w:rsidR="003E487F">
        <w:t>sur une base périodique</w:t>
      </w:r>
      <w:r w:rsidR="00E11C16">
        <w:t xml:space="preserve">. La mission de l’audit est d’évaluer </w:t>
      </w:r>
      <w:r w:rsidR="007C0B76" w:rsidRPr="003E3B86">
        <w:t>le</w:t>
      </w:r>
      <w:r w:rsidR="004601BD" w:rsidRPr="003E3B86">
        <w:t xml:space="preserve"> niveau de</w:t>
      </w:r>
      <w:r w:rsidRPr="003E3B86">
        <w:t>s tarifs aériens</w:t>
      </w:r>
      <w:r w:rsidR="00E11C16">
        <w:t xml:space="preserve"> payé par la GIZ à l’agence</w:t>
      </w:r>
      <w:r w:rsidR="004601BD" w:rsidRPr="003E3B86">
        <w:t xml:space="preserve">. </w:t>
      </w:r>
      <w:r w:rsidR="00DA10FF">
        <w:t xml:space="preserve">Le cabinet d’audit est choisi sur la base de sa crédibilité internationale, et de commun accord avec l’agence. </w:t>
      </w:r>
      <w:r w:rsidR="004601BD" w:rsidRPr="003E3B86">
        <w:t xml:space="preserve">Toutefois </w:t>
      </w:r>
      <w:r w:rsidR="007C0B76" w:rsidRPr="003E3B86">
        <w:t>la GIZ se réserve un droit exc</w:t>
      </w:r>
      <w:r w:rsidR="001C0419">
        <w:t>lusif de décider le choix final du cabinet d’audit.</w:t>
      </w:r>
    </w:p>
    <w:p w14:paraId="35D63B2F" w14:textId="516E7D96" w:rsidR="004270FC" w:rsidRDefault="004270FC" w:rsidP="008F6A08">
      <w:pPr>
        <w:spacing w:after="0" w:line="240" w:lineRule="auto"/>
        <w:jc w:val="both"/>
      </w:pPr>
    </w:p>
    <w:p w14:paraId="16D4BF0F" w14:textId="40C937AE" w:rsidR="004270FC" w:rsidRPr="002673ED" w:rsidRDefault="001A5117" w:rsidP="003E4C04">
      <w:pPr>
        <w:pStyle w:val="Titre4"/>
      </w:pPr>
      <w:bookmarkStart w:id="25" w:name="_Toc34049114"/>
      <w:r w:rsidRPr="002673ED">
        <w:t>Confidentialité</w:t>
      </w:r>
      <w:bookmarkEnd w:id="25"/>
    </w:p>
    <w:p w14:paraId="6B11ACFA" w14:textId="24377451" w:rsidR="004270FC" w:rsidRDefault="004270FC" w:rsidP="008F6A08">
      <w:pPr>
        <w:spacing w:after="0" w:line="240" w:lineRule="auto"/>
        <w:jc w:val="both"/>
      </w:pPr>
      <w:r w:rsidRPr="00AE318F">
        <w:t xml:space="preserve">L’agence </w:t>
      </w:r>
      <w:r>
        <w:t xml:space="preserve">s’engage à travers </w:t>
      </w:r>
      <w:r w:rsidRPr="007F2493">
        <w:t xml:space="preserve">l’annexe </w:t>
      </w:r>
      <w:r w:rsidRPr="007F2493">
        <w:rPr>
          <w:b/>
          <w:bCs/>
        </w:rPr>
        <w:t>05</w:t>
      </w:r>
      <w:r>
        <w:t xml:space="preserve"> à la confidentialité des transactions et des informations échangées</w:t>
      </w:r>
      <w:r w:rsidR="004601BD">
        <w:t xml:space="preserve"> dans le cadre</w:t>
      </w:r>
      <w:r w:rsidR="003E487F">
        <w:t xml:space="preserve"> de la prestation.</w:t>
      </w:r>
    </w:p>
    <w:p w14:paraId="08B1DC57" w14:textId="4AA26C07" w:rsidR="004270FC" w:rsidRDefault="004270FC" w:rsidP="008F6A08">
      <w:pPr>
        <w:spacing w:after="0" w:line="240" w:lineRule="auto"/>
        <w:jc w:val="both"/>
      </w:pPr>
    </w:p>
    <w:p w14:paraId="54172561" w14:textId="7C0D0A34" w:rsidR="001A5117" w:rsidRPr="002673ED" w:rsidRDefault="001A5117" w:rsidP="003E4C04">
      <w:pPr>
        <w:pStyle w:val="Titre4"/>
      </w:pPr>
      <w:bookmarkStart w:id="26" w:name="_Toc34049115"/>
      <w:r w:rsidRPr="002673ED">
        <w:t>Catastrophes</w:t>
      </w:r>
      <w:bookmarkEnd w:id="26"/>
    </w:p>
    <w:p w14:paraId="3DD1529D" w14:textId="05645C2F" w:rsidR="00057F32" w:rsidRDefault="00057F32" w:rsidP="008F6A08">
      <w:pPr>
        <w:spacing w:after="0" w:line="240" w:lineRule="auto"/>
        <w:jc w:val="both"/>
      </w:pPr>
      <w:r>
        <w:t>En</w:t>
      </w:r>
      <w:r w:rsidR="00F60688">
        <w:t xml:space="preserve"> cas de catastrophe, l’agence effectue </w:t>
      </w:r>
      <w:r w:rsidR="004601BD">
        <w:t xml:space="preserve">des recherches dans </w:t>
      </w:r>
      <w:r w:rsidR="00F60688">
        <w:t>s</w:t>
      </w:r>
      <w:r w:rsidR="004601BD">
        <w:t>es données</w:t>
      </w:r>
      <w:r w:rsidR="001C0419">
        <w:t>,</w:t>
      </w:r>
      <w:r w:rsidR="004601BD">
        <w:t xml:space="preserve"> </w:t>
      </w:r>
      <w:r w:rsidR="00F60688">
        <w:t xml:space="preserve">et </w:t>
      </w:r>
      <w:r>
        <w:t>se conforme à toutes les restrictions et réglementations imposées par le</w:t>
      </w:r>
      <w:r w:rsidR="00F60688">
        <w:t xml:space="preserve"> Directeur Résident de la GIZ</w:t>
      </w:r>
      <w:r w:rsidR="003E487F">
        <w:t>,</w:t>
      </w:r>
      <w:r w:rsidR="00F60688">
        <w:t xml:space="preserve"> et par délégation le</w:t>
      </w:r>
      <w:r>
        <w:t xml:space="preserve"> point focal sécurité </w:t>
      </w:r>
      <w:r w:rsidR="003E487F">
        <w:t>national de la GIZ. Elle</w:t>
      </w:r>
      <w:r w:rsidR="00F60688">
        <w:t xml:space="preserve"> r</w:t>
      </w:r>
      <w:r>
        <w:t>end toute a</w:t>
      </w:r>
      <w:r w:rsidR="00F60688">
        <w:t xml:space="preserve">utre assistance spécialisée, </w:t>
      </w:r>
      <w:r>
        <w:t xml:space="preserve">comme l'organisation de l’hébergement en hôtel, location de voiture, aide aux déplacements des proches des membres du personnel affectés. </w:t>
      </w:r>
    </w:p>
    <w:p w14:paraId="76311EA2" w14:textId="55712975" w:rsidR="00A86C01" w:rsidRDefault="00A86C01" w:rsidP="008F6A08">
      <w:pPr>
        <w:spacing w:after="0" w:line="240" w:lineRule="auto"/>
        <w:jc w:val="both"/>
      </w:pPr>
    </w:p>
    <w:p w14:paraId="6586CAB7" w14:textId="244BD0C1" w:rsidR="00921F37" w:rsidRDefault="002E0C32" w:rsidP="003E4C04">
      <w:pPr>
        <w:pStyle w:val="Titre3"/>
        <w:ind w:left="851" w:hanging="491"/>
      </w:pPr>
      <w:r>
        <w:t xml:space="preserve">Attestation </w:t>
      </w:r>
      <w:r w:rsidR="00921F37">
        <w:t>de performance</w:t>
      </w:r>
    </w:p>
    <w:p w14:paraId="0A0EB8A5" w14:textId="768BF771" w:rsidR="00F60688" w:rsidRDefault="00F60688" w:rsidP="008F6A08">
      <w:pPr>
        <w:spacing w:after="0" w:line="240" w:lineRule="auto"/>
      </w:pPr>
      <w:r w:rsidRPr="00F60688">
        <w:t xml:space="preserve">La GIZ évaluera </w:t>
      </w:r>
      <w:r w:rsidR="00E3136F" w:rsidRPr="00E3136F">
        <w:rPr>
          <w:i/>
        </w:rPr>
        <w:t>trimestriellement</w:t>
      </w:r>
      <w:r w:rsidRPr="00F60688">
        <w:t xml:space="preserve"> la performance de l’agence de voyage</w:t>
      </w:r>
      <w:r>
        <w:t>. Pour ce faire elle utilisera la grille de performance ci-dessous :</w:t>
      </w:r>
    </w:p>
    <w:p w14:paraId="72A096B2" w14:textId="21D065FF" w:rsidR="001C0419" w:rsidRDefault="001C0419" w:rsidP="008F6A08">
      <w:pPr>
        <w:spacing w:after="0" w:line="240" w:lineRule="auto"/>
      </w:pPr>
    </w:p>
    <w:tbl>
      <w:tblPr>
        <w:tblStyle w:val="Grilledutableau"/>
        <w:tblW w:w="9756" w:type="dxa"/>
        <w:tblLook w:val="04A0" w:firstRow="1" w:lastRow="0" w:firstColumn="1" w:lastColumn="0" w:noHBand="0" w:noVBand="1"/>
      </w:tblPr>
      <w:tblGrid>
        <w:gridCol w:w="704"/>
        <w:gridCol w:w="2835"/>
        <w:gridCol w:w="4678"/>
        <w:gridCol w:w="1539"/>
      </w:tblGrid>
      <w:tr w:rsidR="00EF6B37" w:rsidRPr="00D41596" w14:paraId="12943722" w14:textId="77777777" w:rsidTr="00F60688">
        <w:trPr>
          <w:trHeight w:val="297"/>
        </w:trPr>
        <w:tc>
          <w:tcPr>
            <w:tcW w:w="704" w:type="dxa"/>
          </w:tcPr>
          <w:p w14:paraId="3A754B53" w14:textId="07B8DB79" w:rsidR="00EF6B37" w:rsidRPr="007C0B76" w:rsidRDefault="00EF6B37" w:rsidP="008F6A08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Pos.</w:t>
            </w:r>
          </w:p>
        </w:tc>
        <w:tc>
          <w:tcPr>
            <w:tcW w:w="2835" w:type="dxa"/>
            <w:vAlign w:val="center"/>
          </w:tcPr>
          <w:p w14:paraId="55B440D0" w14:textId="3761B54E" w:rsidR="00EF6B37" w:rsidRPr="007C0B76" w:rsidRDefault="00EF6B37" w:rsidP="008F6A08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C0B76">
              <w:rPr>
                <w:b/>
                <w:color w:val="000000"/>
              </w:rPr>
              <w:t>Description de service</w:t>
            </w:r>
          </w:p>
        </w:tc>
        <w:tc>
          <w:tcPr>
            <w:tcW w:w="4678" w:type="dxa"/>
            <w:vAlign w:val="center"/>
          </w:tcPr>
          <w:p w14:paraId="7F27488C" w14:textId="28DA0C27" w:rsidR="00EF6B37" w:rsidRPr="007C0B76" w:rsidRDefault="00EF6B37" w:rsidP="008F6A08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C0B76">
              <w:rPr>
                <w:b/>
                <w:color w:val="000000"/>
              </w:rPr>
              <w:t>Critère de performance</w:t>
            </w:r>
            <w:r>
              <w:rPr>
                <w:b/>
                <w:color w:val="000000"/>
              </w:rPr>
              <w:t xml:space="preserve"> (sur 100 points)</w:t>
            </w:r>
          </w:p>
        </w:tc>
        <w:tc>
          <w:tcPr>
            <w:tcW w:w="1539" w:type="dxa"/>
            <w:vAlign w:val="center"/>
          </w:tcPr>
          <w:p w14:paraId="21170CA9" w14:textId="76B6D20E" w:rsidR="00EF6B37" w:rsidRPr="007C0B76" w:rsidRDefault="00EF6B37" w:rsidP="008F6A08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DC70F4" w:rsidRPr="00D41596" w14:paraId="215905B6" w14:textId="77777777" w:rsidTr="00F60688">
        <w:trPr>
          <w:trHeight w:val="908"/>
        </w:trPr>
        <w:tc>
          <w:tcPr>
            <w:tcW w:w="704" w:type="dxa"/>
            <w:vMerge w:val="restart"/>
          </w:tcPr>
          <w:p w14:paraId="288C9FFD" w14:textId="0295E909" w:rsidR="00DC70F4" w:rsidRPr="00D41596" w:rsidRDefault="00DC70F4" w:rsidP="008F6A08">
            <w:pPr>
              <w:autoSpaceDE w:val="0"/>
              <w:autoSpaceDN w:val="0"/>
              <w:spacing w:after="0" w:line="240" w:lineRule="auto"/>
              <w:jc w:val="both"/>
              <w:rPr>
                <w:rStyle w:val="hps"/>
                <w:b/>
                <w:color w:val="222222"/>
              </w:rPr>
            </w:pPr>
            <w:r>
              <w:rPr>
                <w:rStyle w:val="hps"/>
                <w:b/>
                <w:color w:val="222222"/>
              </w:rPr>
              <w:t>A</w:t>
            </w:r>
          </w:p>
        </w:tc>
        <w:tc>
          <w:tcPr>
            <w:tcW w:w="2835" w:type="dxa"/>
            <w:vMerge w:val="restart"/>
          </w:tcPr>
          <w:p w14:paraId="5B13BE49" w14:textId="68BC4E9B" w:rsidR="00DC70F4" w:rsidRPr="00D41596" w:rsidRDefault="00DC70F4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D41596">
              <w:rPr>
                <w:rStyle w:val="hps"/>
                <w:b/>
                <w:color w:val="222222"/>
              </w:rPr>
              <w:t xml:space="preserve">Réservation </w:t>
            </w:r>
            <w:r w:rsidR="003E487F">
              <w:rPr>
                <w:rStyle w:val="hps"/>
                <w:b/>
                <w:color w:val="222222"/>
              </w:rPr>
              <w:t xml:space="preserve">des services </w:t>
            </w:r>
          </w:p>
        </w:tc>
        <w:tc>
          <w:tcPr>
            <w:tcW w:w="4678" w:type="dxa"/>
          </w:tcPr>
          <w:p w14:paraId="18FA9243" w14:textId="77777777" w:rsidR="00F60688" w:rsidRPr="007F2493" w:rsidRDefault="00DC70F4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color w:val="000000"/>
              </w:rPr>
            </w:pPr>
            <w:r w:rsidRPr="007F2493">
              <w:rPr>
                <w:color w:val="000000"/>
              </w:rPr>
              <w:t xml:space="preserve">Temps de réponse après demande </w:t>
            </w:r>
          </w:p>
          <w:p w14:paraId="1F77D36F" w14:textId="42C19EEC" w:rsidR="00DC70F4" w:rsidRPr="007F2493" w:rsidRDefault="00DC70F4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color w:val="000000"/>
              </w:rPr>
            </w:pPr>
            <w:r w:rsidRPr="007F2493">
              <w:rPr>
                <w:color w:val="000000"/>
              </w:rPr>
              <w:t>(≤3H = 100 points ; entre 3H et 5</w:t>
            </w:r>
            <w:r w:rsidR="00871EB8" w:rsidRPr="007F2493">
              <w:rPr>
                <w:color w:val="000000"/>
              </w:rPr>
              <w:t>H =90 points ; ≥5H = 50 points)</w:t>
            </w:r>
          </w:p>
        </w:tc>
        <w:tc>
          <w:tcPr>
            <w:tcW w:w="1539" w:type="dxa"/>
          </w:tcPr>
          <w:p w14:paraId="52F705CA" w14:textId="7990BFF6" w:rsidR="00DC70F4" w:rsidRPr="00EF6B37" w:rsidRDefault="00DC70F4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C70F4" w:rsidRPr="00D41596" w14:paraId="215CFA0D" w14:textId="77777777" w:rsidTr="00F60688">
        <w:trPr>
          <w:trHeight w:val="923"/>
        </w:trPr>
        <w:tc>
          <w:tcPr>
            <w:tcW w:w="704" w:type="dxa"/>
            <w:vMerge/>
          </w:tcPr>
          <w:p w14:paraId="4CB7782C" w14:textId="77777777" w:rsidR="00DC70F4" w:rsidRPr="00D41596" w:rsidRDefault="00DC70F4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21FE57AF" w14:textId="35E27BE3" w:rsidR="00DC70F4" w:rsidRPr="00D41596" w:rsidRDefault="00DC70F4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14:paraId="276A337B" w14:textId="35B69CAC" w:rsidR="00DC70F4" w:rsidRPr="007F2493" w:rsidRDefault="00DC70F4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Avis</w:t>
            </w:r>
            <w:r w:rsidR="003E487F" w:rsidRPr="007F2493">
              <w:rPr>
                <w:rStyle w:val="hps"/>
                <w:color w:val="222222"/>
              </w:rPr>
              <w:t xml:space="preserve"> sur</w:t>
            </w:r>
            <w:r w:rsidRPr="007F2493">
              <w:rPr>
                <w:rStyle w:val="hps"/>
                <w:color w:val="222222"/>
              </w:rPr>
              <w:t xml:space="preserve"> </w:t>
            </w:r>
            <w:r w:rsidR="00F60688" w:rsidRPr="007F2493">
              <w:rPr>
                <w:rStyle w:val="hps"/>
                <w:color w:val="222222"/>
              </w:rPr>
              <w:t>les</w:t>
            </w:r>
            <w:r w:rsidRPr="007F2493">
              <w:rPr>
                <w:rStyle w:val="longtext"/>
                <w:color w:val="222222"/>
              </w:rPr>
              <w:t xml:space="preserve"> conditions de visas, </w:t>
            </w:r>
            <w:r w:rsidRPr="007F2493">
              <w:rPr>
                <w:rStyle w:val="hps"/>
                <w:color w:val="222222"/>
              </w:rPr>
              <w:t>exigences</w:t>
            </w:r>
            <w:r w:rsidRPr="007F2493">
              <w:rPr>
                <w:rStyle w:val="longtext"/>
                <w:color w:val="222222"/>
              </w:rPr>
              <w:t xml:space="preserve"> </w:t>
            </w:r>
            <w:r w:rsidRPr="007F2493">
              <w:rPr>
                <w:rStyle w:val="hps"/>
                <w:color w:val="222222"/>
              </w:rPr>
              <w:t>de vaccination</w:t>
            </w:r>
            <w:r w:rsidR="003E487F" w:rsidRPr="007F2493">
              <w:rPr>
                <w:rStyle w:val="hps"/>
                <w:color w:val="222222"/>
              </w:rPr>
              <w:t>s</w:t>
            </w:r>
            <w:r w:rsidRPr="007F2493">
              <w:rPr>
                <w:rStyle w:val="longtext"/>
                <w:color w:val="222222"/>
              </w:rPr>
              <w:t xml:space="preserve"> </w:t>
            </w:r>
            <w:r w:rsidRPr="007F2493">
              <w:rPr>
                <w:rStyle w:val="hps"/>
                <w:color w:val="222222"/>
              </w:rPr>
              <w:t>et</w:t>
            </w:r>
            <w:r w:rsidRPr="007F2493">
              <w:rPr>
                <w:rStyle w:val="longtext"/>
                <w:color w:val="222222"/>
              </w:rPr>
              <w:t xml:space="preserve"> </w:t>
            </w:r>
            <w:r w:rsidRPr="007F2493">
              <w:rPr>
                <w:rStyle w:val="hps"/>
                <w:color w:val="222222"/>
              </w:rPr>
              <w:t>autres renseignements pertinents</w:t>
            </w:r>
            <w:r w:rsidR="001C0419" w:rsidRPr="007F2493">
              <w:rPr>
                <w:rStyle w:val="hps"/>
                <w:color w:val="222222"/>
              </w:rPr>
              <w:t xml:space="preserve"> à la destination du/des voyage(s)</w:t>
            </w:r>
          </w:p>
          <w:p w14:paraId="35768D4C" w14:textId="591510ED" w:rsidR="00DC70F4" w:rsidRPr="007F2493" w:rsidRDefault="00DC70F4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color w:val="000000"/>
              </w:rPr>
            </w:pPr>
            <w:r w:rsidRPr="007F2493">
              <w:rPr>
                <w:rStyle w:val="hps"/>
                <w:color w:val="222222"/>
              </w:rPr>
              <w:t>(Proactif sans demande=100 </w:t>
            </w:r>
            <w:r w:rsidR="003E487F" w:rsidRPr="007F2493">
              <w:rPr>
                <w:color w:val="000000"/>
              </w:rPr>
              <w:t>points</w:t>
            </w:r>
            <w:r w:rsidR="003E487F" w:rsidRPr="007F2493">
              <w:rPr>
                <w:rStyle w:val="hps"/>
                <w:color w:val="222222"/>
              </w:rPr>
              <w:t xml:space="preserve"> ;</w:t>
            </w:r>
            <w:r w:rsidRPr="007F2493">
              <w:rPr>
                <w:rStyle w:val="hps"/>
                <w:color w:val="222222"/>
              </w:rPr>
              <w:t xml:space="preserve"> proactif sur demande=80</w:t>
            </w:r>
            <w:r w:rsidR="003E487F" w:rsidRPr="007F2493">
              <w:rPr>
                <w:rStyle w:val="hps"/>
                <w:color w:val="222222"/>
              </w:rPr>
              <w:t xml:space="preserve"> </w:t>
            </w:r>
            <w:r w:rsidR="003E487F" w:rsidRPr="007F2493">
              <w:rPr>
                <w:color w:val="000000"/>
              </w:rPr>
              <w:t>points</w:t>
            </w:r>
            <w:r w:rsidRPr="007F2493">
              <w:rPr>
                <w:rStyle w:val="hps"/>
                <w:color w:val="222222"/>
              </w:rPr>
              <w:t> ; manque de proactivité=0</w:t>
            </w:r>
            <w:r w:rsidR="003E487F" w:rsidRPr="007F2493">
              <w:rPr>
                <w:rStyle w:val="hps"/>
                <w:color w:val="222222"/>
              </w:rPr>
              <w:t xml:space="preserve"> </w:t>
            </w:r>
            <w:r w:rsidR="003E487F" w:rsidRPr="007F2493">
              <w:rPr>
                <w:color w:val="000000"/>
              </w:rPr>
              <w:t>points</w:t>
            </w:r>
            <w:r w:rsidRPr="007F2493">
              <w:rPr>
                <w:rStyle w:val="hps"/>
                <w:color w:val="222222"/>
              </w:rPr>
              <w:t xml:space="preserve">) </w:t>
            </w:r>
          </w:p>
        </w:tc>
        <w:tc>
          <w:tcPr>
            <w:tcW w:w="1539" w:type="dxa"/>
          </w:tcPr>
          <w:p w14:paraId="20176358" w14:textId="0F413A7D" w:rsidR="00DC70F4" w:rsidRPr="00EF6B37" w:rsidRDefault="00DC70F4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B37" w:rsidRPr="00D41596" w14:paraId="19500252" w14:textId="77777777" w:rsidTr="00F60688">
        <w:trPr>
          <w:trHeight w:val="1502"/>
        </w:trPr>
        <w:tc>
          <w:tcPr>
            <w:tcW w:w="704" w:type="dxa"/>
          </w:tcPr>
          <w:p w14:paraId="0EE66FF4" w14:textId="3CC31206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2835" w:type="dxa"/>
          </w:tcPr>
          <w:p w14:paraId="06F18025" w14:textId="358A1F7B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D41596">
              <w:rPr>
                <w:b/>
                <w:bCs/>
                <w:color w:val="000000"/>
              </w:rPr>
              <w:t>Tarifs et Itinéraires</w:t>
            </w:r>
          </w:p>
        </w:tc>
        <w:tc>
          <w:tcPr>
            <w:tcW w:w="4678" w:type="dxa"/>
          </w:tcPr>
          <w:p w14:paraId="0722082E" w14:textId="4A5E17EC" w:rsidR="00EF6B37" w:rsidRPr="007F2493" w:rsidRDefault="003E487F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Confirmation par l’audit de la compétitivité des coûts des billets par l’agence</w:t>
            </w:r>
            <w:r w:rsidR="00EF6B37" w:rsidRPr="007F2493">
              <w:rPr>
                <w:rStyle w:val="hps"/>
                <w:color w:val="222222"/>
              </w:rPr>
              <w:t xml:space="preserve"> </w:t>
            </w:r>
          </w:p>
          <w:p w14:paraId="79CDC07D" w14:textId="04075FD4" w:rsidR="00EF6B37" w:rsidRPr="007F2493" w:rsidRDefault="00EF6B37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(Pas de billets plus chers que la tendance du marché=100 points ; 1 à 5 billets plus cher</w:t>
            </w:r>
            <w:r w:rsidR="00F60688" w:rsidRPr="007F2493">
              <w:rPr>
                <w:rStyle w:val="hps"/>
                <w:color w:val="222222"/>
              </w:rPr>
              <w:t>s=50 points ; plus de 5 billets=</w:t>
            </w:r>
            <w:r w:rsidRPr="007F2493">
              <w:rPr>
                <w:rStyle w:val="hps"/>
                <w:color w:val="222222"/>
              </w:rPr>
              <w:t>0 points)</w:t>
            </w:r>
          </w:p>
        </w:tc>
        <w:tc>
          <w:tcPr>
            <w:tcW w:w="1539" w:type="dxa"/>
          </w:tcPr>
          <w:p w14:paraId="655E6C53" w14:textId="30C43DC8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B37" w:rsidRPr="00D41596" w14:paraId="7453A3AC" w14:textId="77777777" w:rsidTr="00F60688">
        <w:trPr>
          <w:trHeight w:val="73"/>
        </w:trPr>
        <w:tc>
          <w:tcPr>
            <w:tcW w:w="704" w:type="dxa"/>
            <w:vMerge w:val="restart"/>
          </w:tcPr>
          <w:p w14:paraId="6F9BCF51" w14:textId="3D40638A" w:rsidR="00EF6B37" w:rsidRPr="00EF6B37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835" w:type="dxa"/>
            <w:vMerge w:val="restart"/>
          </w:tcPr>
          <w:p w14:paraId="3058E3FC" w14:textId="396194F2" w:rsidR="00EF6B37" w:rsidRPr="00EF6B37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000000"/>
              </w:rPr>
            </w:pPr>
            <w:r w:rsidRPr="00EF6B37">
              <w:rPr>
                <w:b/>
                <w:color w:val="000000"/>
              </w:rPr>
              <w:t>Qualité des services</w:t>
            </w:r>
          </w:p>
        </w:tc>
        <w:tc>
          <w:tcPr>
            <w:tcW w:w="4678" w:type="dxa"/>
          </w:tcPr>
          <w:p w14:paraId="790F4AD4" w14:textId="77777777" w:rsidR="00EF6B37" w:rsidRPr="007F2493" w:rsidRDefault="00EF6B37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Délivrance du billet après autorisation formelle GIZ</w:t>
            </w:r>
          </w:p>
          <w:p w14:paraId="5D2F0074" w14:textId="3AEFEEBE" w:rsidR="00EF6B37" w:rsidRPr="007F2493" w:rsidRDefault="00EF6B37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(Intervalle d</w:t>
            </w:r>
            <w:r w:rsidR="00E3136F" w:rsidRPr="007F2493">
              <w:rPr>
                <w:rStyle w:val="hps"/>
                <w:color w:val="222222"/>
              </w:rPr>
              <w:t xml:space="preserve">e 5H : 100 points ; plus de 5H à </w:t>
            </w:r>
            <w:r w:rsidRPr="007F2493">
              <w:rPr>
                <w:rStyle w:val="hps"/>
                <w:color w:val="222222"/>
              </w:rPr>
              <w:t>lendemain : 90 points ; Surlendemain : 50 points)</w:t>
            </w:r>
          </w:p>
        </w:tc>
        <w:tc>
          <w:tcPr>
            <w:tcW w:w="1539" w:type="dxa"/>
            <w:vMerge w:val="restart"/>
          </w:tcPr>
          <w:p w14:paraId="6F314E09" w14:textId="6E986B3D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B37" w:rsidRPr="00D41596" w14:paraId="675FD3B5" w14:textId="77777777" w:rsidTr="00F60688">
        <w:trPr>
          <w:trHeight w:val="610"/>
        </w:trPr>
        <w:tc>
          <w:tcPr>
            <w:tcW w:w="704" w:type="dxa"/>
            <w:vMerge/>
          </w:tcPr>
          <w:p w14:paraId="4939894E" w14:textId="77777777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552D0E24" w14:textId="476D5A99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14:paraId="3C845D9C" w14:textId="55F086A0" w:rsidR="00EF6B37" w:rsidRPr="007F2493" w:rsidRDefault="00EF6B37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Disponibilité en cas d’urgence et pendant les jours non ouvré</w:t>
            </w:r>
            <w:r w:rsidR="00F60688" w:rsidRPr="007F2493">
              <w:rPr>
                <w:rStyle w:val="hps"/>
                <w:color w:val="222222"/>
              </w:rPr>
              <w:t>s</w:t>
            </w:r>
            <w:r w:rsidR="00DC70F4" w:rsidRPr="007F2493">
              <w:rPr>
                <w:rStyle w:val="hps"/>
                <w:color w:val="222222"/>
              </w:rPr>
              <w:t xml:space="preserve"> (permanence assurée :100 points ; permanence assurée une fois sur deux = 50 points ; permanence </w:t>
            </w:r>
            <w:r w:rsidR="006E0DA6" w:rsidRPr="007F2493">
              <w:rPr>
                <w:rStyle w:val="hps"/>
                <w:color w:val="222222"/>
              </w:rPr>
              <w:t>non-assurée</w:t>
            </w:r>
            <w:r w:rsidR="00DC70F4" w:rsidRPr="007F2493">
              <w:rPr>
                <w:rStyle w:val="hps"/>
                <w:color w:val="222222"/>
              </w:rPr>
              <w:t xml:space="preserve"> = 0 points)</w:t>
            </w:r>
          </w:p>
        </w:tc>
        <w:tc>
          <w:tcPr>
            <w:tcW w:w="1539" w:type="dxa"/>
            <w:vMerge/>
          </w:tcPr>
          <w:p w14:paraId="3D07FE0B" w14:textId="29A4EF37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B37" w:rsidRPr="00D41596" w14:paraId="2CAE8E81" w14:textId="77777777" w:rsidTr="00F60688">
        <w:trPr>
          <w:trHeight w:val="165"/>
        </w:trPr>
        <w:tc>
          <w:tcPr>
            <w:tcW w:w="704" w:type="dxa"/>
            <w:vMerge/>
          </w:tcPr>
          <w:p w14:paraId="487D4F7E" w14:textId="77777777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rStyle w:val="hps"/>
                <w:b/>
                <w:color w:val="222222"/>
              </w:rPr>
            </w:pPr>
          </w:p>
        </w:tc>
        <w:tc>
          <w:tcPr>
            <w:tcW w:w="2835" w:type="dxa"/>
            <w:vMerge/>
          </w:tcPr>
          <w:p w14:paraId="3618FA92" w14:textId="3F555A7D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rStyle w:val="hps"/>
                <w:b/>
                <w:color w:val="222222"/>
              </w:rPr>
            </w:pPr>
          </w:p>
        </w:tc>
        <w:tc>
          <w:tcPr>
            <w:tcW w:w="4678" w:type="dxa"/>
          </w:tcPr>
          <w:p w14:paraId="24198D24" w14:textId="15F1FE2F" w:rsidR="00EF6B37" w:rsidRPr="007F2493" w:rsidRDefault="00EF6B37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 xml:space="preserve">Remboursement </w:t>
            </w:r>
            <w:r w:rsidR="00E13603" w:rsidRPr="007F2493">
              <w:rPr>
                <w:rStyle w:val="hps"/>
                <w:color w:val="222222"/>
              </w:rPr>
              <w:t xml:space="preserve">des avoirs </w:t>
            </w:r>
            <w:r w:rsidRPr="007F2493">
              <w:rPr>
                <w:rStyle w:val="hps"/>
                <w:color w:val="222222"/>
              </w:rPr>
              <w:t>à la GIZ</w:t>
            </w:r>
          </w:p>
          <w:p w14:paraId="775184EF" w14:textId="71F85920" w:rsidR="00EF6B37" w:rsidRPr="007F2493" w:rsidRDefault="00EF6B37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 xml:space="preserve">(Même </w:t>
            </w:r>
            <w:r w:rsidR="00871EB8" w:rsidRPr="007F2493">
              <w:rPr>
                <w:rStyle w:val="hps"/>
                <w:color w:val="222222"/>
              </w:rPr>
              <w:t>mois :</w:t>
            </w:r>
            <w:r w:rsidRPr="007F2493">
              <w:rPr>
                <w:rStyle w:val="hps"/>
                <w:color w:val="222222"/>
              </w:rPr>
              <w:t xml:space="preserve"> 100 points ; deux mois :80 points ; trois mois et plus : 0 points)</w:t>
            </w:r>
          </w:p>
        </w:tc>
        <w:tc>
          <w:tcPr>
            <w:tcW w:w="1539" w:type="dxa"/>
            <w:vMerge/>
          </w:tcPr>
          <w:p w14:paraId="0D65B31F" w14:textId="1AFEE112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B37" w:rsidRPr="00D41596" w14:paraId="1E67B36B" w14:textId="77777777" w:rsidTr="00F60688">
        <w:trPr>
          <w:trHeight w:val="626"/>
        </w:trPr>
        <w:tc>
          <w:tcPr>
            <w:tcW w:w="704" w:type="dxa"/>
            <w:vMerge/>
          </w:tcPr>
          <w:p w14:paraId="08CD3E1A" w14:textId="77777777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rStyle w:val="hps"/>
                <w:b/>
                <w:color w:val="222222"/>
              </w:rPr>
            </w:pPr>
          </w:p>
        </w:tc>
        <w:tc>
          <w:tcPr>
            <w:tcW w:w="2835" w:type="dxa"/>
            <w:vMerge/>
          </w:tcPr>
          <w:p w14:paraId="67C18FCD" w14:textId="0A5F65B3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rStyle w:val="hps"/>
                <w:b/>
                <w:color w:val="222222"/>
              </w:rPr>
            </w:pPr>
          </w:p>
        </w:tc>
        <w:tc>
          <w:tcPr>
            <w:tcW w:w="4678" w:type="dxa"/>
          </w:tcPr>
          <w:p w14:paraId="07B6A1DD" w14:textId="29CEDFCC" w:rsidR="00EF6B37" w:rsidRPr="007F2493" w:rsidRDefault="00F60688" w:rsidP="008F6A08">
            <w:pPr>
              <w:autoSpaceDE w:val="0"/>
              <w:autoSpaceDN w:val="0"/>
              <w:snapToGrid/>
              <w:spacing w:after="0" w:line="240" w:lineRule="auto"/>
              <w:jc w:val="both"/>
              <w:rPr>
                <w:rStyle w:val="hps"/>
                <w:color w:val="222222"/>
              </w:rPr>
            </w:pPr>
            <w:r w:rsidRPr="007F2493">
              <w:rPr>
                <w:rStyle w:val="hps"/>
                <w:color w:val="222222"/>
              </w:rPr>
              <w:t>Appréciation</w:t>
            </w:r>
            <w:r w:rsidR="00EF6B37" w:rsidRPr="007F2493">
              <w:rPr>
                <w:rStyle w:val="hps"/>
                <w:color w:val="222222"/>
              </w:rPr>
              <w:t xml:space="preserve"> globale (</w:t>
            </w:r>
            <w:r w:rsidRPr="007F2493">
              <w:rPr>
                <w:rStyle w:val="hps"/>
                <w:color w:val="222222"/>
              </w:rPr>
              <w:t>Très bonne=100 points ; moyenne=70 points ; mauvaise=0 points)</w:t>
            </w:r>
          </w:p>
        </w:tc>
        <w:tc>
          <w:tcPr>
            <w:tcW w:w="1539" w:type="dxa"/>
            <w:vMerge/>
          </w:tcPr>
          <w:p w14:paraId="046C4E77" w14:textId="77777777" w:rsidR="00EF6B37" w:rsidRPr="00D41596" w:rsidRDefault="00EF6B37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F6B37" w:rsidRPr="00D41596" w14:paraId="7BE71746" w14:textId="77777777" w:rsidTr="00F60688">
        <w:trPr>
          <w:trHeight w:val="607"/>
        </w:trPr>
        <w:tc>
          <w:tcPr>
            <w:tcW w:w="8217" w:type="dxa"/>
            <w:gridSpan w:val="3"/>
            <w:vAlign w:val="center"/>
          </w:tcPr>
          <w:p w14:paraId="7E6E7C5C" w14:textId="125E3AAD" w:rsidR="00EF6B37" w:rsidRPr="00EF6B37" w:rsidRDefault="00EF6B37" w:rsidP="008F6A08">
            <w:pPr>
              <w:autoSpaceDE w:val="0"/>
              <w:autoSpaceDN w:val="0"/>
              <w:snapToGrid/>
              <w:spacing w:after="0" w:line="240" w:lineRule="auto"/>
              <w:jc w:val="center"/>
              <w:rPr>
                <w:rStyle w:val="hps"/>
                <w:b/>
                <w:color w:val="222222"/>
              </w:rPr>
            </w:pPr>
            <w:r w:rsidRPr="00EF6B37">
              <w:rPr>
                <w:rStyle w:val="hps"/>
                <w:b/>
                <w:color w:val="222222"/>
              </w:rPr>
              <w:t>Moyenne A+B+C</w:t>
            </w:r>
          </w:p>
        </w:tc>
        <w:tc>
          <w:tcPr>
            <w:tcW w:w="1539" w:type="dxa"/>
            <w:vAlign w:val="center"/>
          </w:tcPr>
          <w:p w14:paraId="6FA5D732" w14:textId="2C07DE44" w:rsidR="00EF6B37" w:rsidRPr="00D41596" w:rsidRDefault="001C0419" w:rsidP="008F6A0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(A+B+C) / 7</w:t>
            </w:r>
          </w:p>
        </w:tc>
      </w:tr>
    </w:tbl>
    <w:p w14:paraId="24F4A5AF" w14:textId="11275FF4" w:rsidR="00921F37" w:rsidRDefault="00921F37" w:rsidP="008F6A08">
      <w:pPr>
        <w:spacing w:after="0" w:line="240" w:lineRule="auto"/>
      </w:pPr>
    </w:p>
    <w:p w14:paraId="7079A158" w14:textId="06DA5C3B" w:rsidR="00DC70F4" w:rsidRDefault="00871EB8" w:rsidP="008F6A08">
      <w:pPr>
        <w:spacing w:after="0" w:line="240" w:lineRule="auto"/>
        <w:jc w:val="both"/>
      </w:pPr>
      <w:r>
        <w:t xml:space="preserve">Si un critère est non applicable, parce que le cas de figure n’est jamais survenu, la totalité des 100 points est accordée. </w:t>
      </w:r>
      <w:r w:rsidR="00DC70F4">
        <w:t xml:space="preserve">L’agence sera évaluée par semestre. </w:t>
      </w:r>
      <w:r w:rsidR="00EF6B37">
        <w:t xml:space="preserve">Il est attendu </w:t>
      </w:r>
      <w:r w:rsidR="00DC70F4">
        <w:t>de l’agence adjudicatrice</w:t>
      </w:r>
      <w:r w:rsidR="00E3136F">
        <w:t>,</w:t>
      </w:r>
      <w:r w:rsidR="00DC70F4">
        <w:t xml:space="preserve"> qu’elle obtienne une no</w:t>
      </w:r>
      <w:r w:rsidR="001C0419">
        <w:t>te de performance supérieure à 6</w:t>
      </w:r>
      <w:r w:rsidR="00DC70F4">
        <w:t>0 points. Le défaut d’obtenir une note de performance s</w:t>
      </w:r>
      <w:r w:rsidR="00F60688">
        <w:t>atisfaisante deux fois de suite,</w:t>
      </w:r>
      <w:r w:rsidR="001C0419">
        <w:t xml:space="preserve"> c’est-à-dire inférieure à 60 deux fois de suite,</w:t>
      </w:r>
      <w:r w:rsidR="00F60688">
        <w:t xml:space="preserve"> </w:t>
      </w:r>
      <w:r w:rsidR="002E0C32">
        <w:t xml:space="preserve">peut </w:t>
      </w:r>
      <w:r w:rsidR="00DC70F4">
        <w:t>entraîne</w:t>
      </w:r>
      <w:r w:rsidR="002E0C32">
        <w:t>r</w:t>
      </w:r>
      <w:r w:rsidR="00DC70F4">
        <w:t xml:space="preserve"> une </w:t>
      </w:r>
      <w:r w:rsidR="00F60688">
        <w:t xml:space="preserve">mise en demeure, suivi d’une résiliation </w:t>
      </w:r>
      <w:r w:rsidR="00E3136F">
        <w:t xml:space="preserve">si les services ne se sont pas améliorés à la prochaine évaluation. La résiliation se fera conformément aux </w:t>
      </w:r>
      <w:r w:rsidR="002E0C32">
        <w:t>conditions générales des contrats de la GIZ.</w:t>
      </w:r>
    </w:p>
    <w:p w14:paraId="7D53F027" w14:textId="148A4EAD" w:rsidR="00921F37" w:rsidRDefault="00921F37" w:rsidP="008F6A08">
      <w:pPr>
        <w:spacing w:after="0" w:line="240" w:lineRule="auto"/>
      </w:pPr>
    </w:p>
    <w:p w14:paraId="18F9004B" w14:textId="74898E30" w:rsidR="00112309" w:rsidRDefault="00112309" w:rsidP="008F6A08">
      <w:pPr>
        <w:spacing w:after="0" w:line="240" w:lineRule="auto"/>
      </w:pPr>
    </w:p>
    <w:p w14:paraId="2659BC53" w14:textId="77777777" w:rsidR="00921F37" w:rsidRDefault="00921F37" w:rsidP="00686297">
      <w:pPr>
        <w:pStyle w:val="Sansinterligne"/>
      </w:pPr>
      <w:bookmarkStart w:id="27" w:name="_Toc33436473"/>
      <w:bookmarkStart w:id="28" w:name="_Toc33546618"/>
      <w:bookmarkStart w:id="29" w:name="_Toc34049116"/>
      <w:bookmarkStart w:id="30" w:name="_Toc6341577"/>
      <w:bookmarkEnd w:id="20"/>
      <w:r>
        <w:t>Offre</w:t>
      </w:r>
      <w:bookmarkEnd w:id="27"/>
      <w:bookmarkEnd w:id="28"/>
      <w:bookmarkEnd w:id="29"/>
    </w:p>
    <w:p w14:paraId="5B9A9611" w14:textId="5B83C493" w:rsidR="00921F37" w:rsidRDefault="00921F37" w:rsidP="008F6A08">
      <w:pPr>
        <w:spacing w:after="0" w:line="240" w:lineRule="auto"/>
        <w:jc w:val="both"/>
      </w:pPr>
      <w:r w:rsidRPr="00206D30">
        <w:t xml:space="preserve">Les </w:t>
      </w:r>
      <w:r w:rsidR="00E3136F">
        <w:t xml:space="preserve">agences de voyage </w:t>
      </w:r>
      <w:r w:rsidRPr="00206D30">
        <w:t>sont invitées à</w:t>
      </w:r>
      <w:r>
        <w:t xml:space="preserve"> soumettre une offre dans un délai précis. Leur dossier de soumission est composé d’</w:t>
      </w:r>
      <w:r w:rsidRPr="00206D30">
        <w:t xml:space="preserve">une offre technique et </w:t>
      </w:r>
      <w:r>
        <w:t>d’</w:t>
      </w:r>
      <w:r w:rsidRPr="00206D30">
        <w:t>une offre financière</w:t>
      </w:r>
      <w:r>
        <w:t xml:space="preserve">, </w:t>
      </w:r>
      <w:r w:rsidRPr="00D57A55">
        <w:t>composé</w:t>
      </w:r>
      <w:r>
        <w:t>e</w:t>
      </w:r>
      <w:r w:rsidRPr="00D57A55">
        <w:t xml:space="preserve"> </w:t>
      </w:r>
      <w:r>
        <w:t xml:space="preserve">comme décrit ci-dessous. </w:t>
      </w:r>
      <w:r w:rsidRPr="00F44011">
        <w:t>Les offres incomplètes</w:t>
      </w:r>
      <w:r>
        <w:t xml:space="preserve">, ou ne respectant pas les instructions de la lettre de consultation </w:t>
      </w:r>
      <w:r w:rsidR="001C0419">
        <w:t xml:space="preserve">reçue </w:t>
      </w:r>
      <w:r>
        <w:t xml:space="preserve">seront </w:t>
      </w:r>
      <w:r w:rsidRPr="00F44011">
        <w:t>rejetées.</w:t>
      </w:r>
      <w:r>
        <w:t xml:space="preserve"> </w:t>
      </w:r>
      <w:r w:rsidRPr="00206D30">
        <w:t>Le marché est attribué à l’</w:t>
      </w:r>
      <w:r>
        <w:t>a</w:t>
      </w:r>
      <w:r w:rsidR="00F60688">
        <w:t xml:space="preserve">gence </w:t>
      </w:r>
      <w:r w:rsidRPr="00206D30">
        <w:t xml:space="preserve">ayant obtenu la note la plus élevée après </w:t>
      </w:r>
      <w:r>
        <w:t>combinaison des notes technique</w:t>
      </w:r>
      <w:r w:rsidRPr="00206D30">
        <w:t xml:space="preserve"> et financière</w:t>
      </w:r>
      <w:r>
        <w:t>.</w:t>
      </w:r>
    </w:p>
    <w:p w14:paraId="547BE2D1" w14:textId="77777777" w:rsidR="00921F37" w:rsidRDefault="00921F37" w:rsidP="008F6A08">
      <w:pPr>
        <w:spacing w:after="0" w:line="240" w:lineRule="auto"/>
        <w:jc w:val="both"/>
      </w:pPr>
    </w:p>
    <w:p w14:paraId="2FB94132" w14:textId="630DB196" w:rsidR="00921F37" w:rsidRDefault="00921F37" w:rsidP="00A23323">
      <w:pPr>
        <w:pStyle w:val="Titre3"/>
      </w:pPr>
      <w:bookmarkStart w:id="31" w:name="_Toc33436474"/>
      <w:bookmarkStart w:id="32" w:name="_Toc33546619"/>
      <w:bookmarkStart w:id="33" w:name="_Toc34049117"/>
      <w:r>
        <w:t>L’offre technique</w:t>
      </w:r>
      <w:bookmarkEnd w:id="31"/>
      <w:bookmarkEnd w:id="32"/>
      <w:bookmarkEnd w:id="33"/>
      <w:r w:rsidR="00C77E1E">
        <w:t xml:space="preserve"> </w:t>
      </w:r>
    </w:p>
    <w:p w14:paraId="63DA40CD" w14:textId="2C02FAC7" w:rsidR="00E3136F" w:rsidRDefault="00E3136F" w:rsidP="008F6A08">
      <w:pPr>
        <w:spacing w:after="0" w:line="240" w:lineRule="auto"/>
        <w:jc w:val="both"/>
      </w:pPr>
      <w:r>
        <w:t>Elle est composée de deux dossiers :</w:t>
      </w:r>
    </w:p>
    <w:p w14:paraId="095B7B4A" w14:textId="77777777" w:rsidR="0037398E" w:rsidRDefault="0037398E" w:rsidP="008F6A08">
      <w:pPr>
        <w:spacing w:after="0" w:line="240" w:lineRule="auto"/>
        <w:jc w:val="both"/>
      </w:pPr>
    </w:p>
    <w:p w14:paraId="3142CC6F" w14:textId="42A308DD" w:rsidR="00921F37" w:rsidRDefault="003E3B86" w:rsidP="0037398E">
      <w:pPr>
        <w:pStyle w:val="Paragraphedeliste"/>
        <w:numPr>
          <w:ilvl w:val="0"/>
          <w:numId w:val="28"/>
        </w:numPr>
        <w:spacing w:after="0" w:line="240" w:lineRule="auto"/>
      </w:pPr>
      <w:r>
        <w:t xml:space="preserve">Le dossier d’éligibilité et </w:t>
      </w:r>
    </w:p>
    <w:p w14:paraId="6AA99C0F" w14:textId="4987C23E" w:rsidR="00921F37" w:rsidRDefault="00E3136F" w:rsidP="0037398E">
      <w:pPr>
        <w:pStyle w:val="Paragraphedeliste"/>
        <w:numPr>
          <w:ilvl w:val="0"/>
          <w:numId w:val="28"/>
        </w:numPr>
        <w:spacing w:after="0" w:line="240" w:lineRule="auto"/>
      </w:pPr>
      <w:r>
        <w:t>Le dossier technique</w:t>
      </w:r>
    </w:p>
    <w:p w14:paraId="7833AC99" w14:textId="77777777" w:rsidR="0037398E" w:rsidRDefault="0037398E" w:rsidP="0037398E">
      <w:pPr>
        <w:pStyle w:val="Paragraphedeliste"/>
        <w:spacing w:after="0" w:line="240" w:lineRule="auto"/>
        <w:ind w:left="360"/>
      </w:pPr>
    </w:p>
    <w:p w14:paraId="04A3E2BF" w14:textId="37D439F9" w:rsidR="001C0419" w:rsidRDefault="00921F37" w:rsidP="008F6A08">
      <w:pPr>
        <w:spacing w:after="0" w:line="240" w:lineRule="auto"/>
        <w:jc w:val="both"/>
      </w:pPr>
      <w:r>
        <w:t>P</w:t>
      </w:r>
      <w:r w:rsidRPr="00AE4D4C">
        <w:t xml:space="preserve">our faciliter </w:t>
      </w:r>
      <w:r>
        <w:t>l’identification des différentes pièces dans leur</w:t>
      </w:r>
      <w:r w:rsidR="00E3136F">
        <w:t>s</w:t>
      </w:r>
      <w:r>
        <w:t xml:space="preserve"> dossier</w:t>
      </w:r>
      <w:r w:rsidR="00E3136F">
        <w:t>s</w:t>
      </w:r>
      <w:r>
        <w:t xml:space="preserve">, les soumissionnaires sont invités </w:t>
      </w:r>
      <w:r w:rsidR="00112F37">
        <w:t>à les organiser en respectant leur ordre d’apparition dans les</w:t>
      </w:r>
      <w:r w:rsidR="00E3136F">
        <w:t xml:space="preserve"> présents</w:t>
      </w:r>
      <w:r w:rsidR="00112F37">
        <w:t xml:space="preserve"> termes de référence, et les séparant </w:t>
      </w:r>
      <w:r>
        <w:t xml:space="preserve">avec </w:t>
      </w:r>
      <w:r w:rsidRPr="00AE4D4C">
        <w:t>des intercalaires</w:t>
      </w:r>
      <w:r>
        <w:t xml:space="preserve">. </w:t>
      </w:r>
      <w:r w:rsidR="00112F37">
        <w:t>La GIZ ne sera pas responsable de disqualification due à une mauvaise compréhension</w:t>
      </w:r>
      <w:r w:rsidR="001C0419">
        <w:t>, elle-même due à un mauvais montage du dossier de soumission.</w:t>
      </w:r>
    </w:p>
    <w:p w14:paraId="63C0C465" w14:textId="753B46B5" w:rsidR="00482AB3" w:rsidRDefault="00482AB3" w:rsidP="008F6A08">
      <w:pPr>
        <w:spacing w:after="0" w:line="240" w:lineRule="auto"/>
        <w:jc w:val="both"/>
      </w:pPr>
    </w:p>
    <w:p w14:paraId="7E147CCB" w14:textId="59D8671D" w:rsidR="00482AB3" w:rsidRPr="007F2493" w:rsidRDefault="00482AB3" w:rsidP="008F6A08">
      <w:pPr>
        <w:spacing w:after="0" w:line="240" w:lineRule="auto"/>
        <w:jc w:val="both"/>
      </w:pPr>
      <w:r>
        <w:t xml:space="preserve">Les critères d’éligibilité et d’évaluation technique sont énoncés à </w:t>
      </w:r>
      <w:r w:rsidRPr="007F2493">
        <w:t>l’annexe</w:t>
      </w:r>
      <w:r w:rsidR="00E73AFA" w:rsidRPr="007F2493">
        <w:t xml:space="preserve"> </w:t>
      </w:r>
      <w:r w:rsidR="007F2493" w:rsidRPr="007F2493">
        <w:rPr>
          <w:b/>
          <w:bCs/>
        </w:rPr>
        <w:t>A</w:t>
      </w:r>
      <w:r w:rsidR="0057767C" w:rsidRPr="007F2493">
        <w:rPr>
          <w:b/>
          <w:bCs/>
        </w:rPr>
        <w:t>3</w:t>
      </w:r>
      <w:r w:rsidR="00E73AFA" w:rsidRPr="007F2493">
        <w:t xml:space="preserve"> (</w:t>
      </w:r>
      <w:r w:rsidR="003C795F" w:rsidRPr="007F2493">
        <w:t>Schéma</w:t>
      </w:r>
      <w:r w:rsidR="00E73AFA" w:rsidRPr="007F2493">
        <w:t xml:space="preserve"> d’évaluation technique)</w:t>
      </w:r>
    </w:p>
    <w:p w14:paraId="09F78A2B" w14:textId="77777777" w:rsidR="00921F37" w:rsidRDefault="00921F37" w:rsidP="008F6A08">
      <w:pPr>
        <w:spacing w:after="0" w:line="240" w:lineRule="auto"/>
        <w:jc w:val="both"/>
      </w:pPr>
    </w:p>
    <w:p w14:paraId="787C4EF6" w14:textId="77777777" w:rsidR="00921F37" w:rsidRPr="003E3B86" w:rsidRDefault="00921F37" w:rsidP="00686297">
      <w:pPr>
        <w:pStyle w:val="Titre4"/>
      </w:pPr>
      <w:r w:rsidRPr="00DD4481">
        <w:t>L</w:t>
      </w:r>
      <w:r>
        <w:t>e dossier d</w:t>
      </w:r>
      <w:r w:rsidRPr="00DD4481">
        <w:t>’éligibilité</w:t>
      </w:r>
    </w:p>
    <w:p w14:paraId="41DDEB9B" w14:textId="41ECD2C3" w:rsidR="00871EB8" w:rsidRDefault="003E3B86" w:rsidP="008F6A08">
      <w:pPr>
        <w:spacing w:after="0" w:line="240" w:lineRule="auto"/>
      </w:pPr>
      <w:r w:rsidRPr="003E3B86">
        <w:t xml:space="preserve">Chaque pièce </w:t>
      </w:r>
      <w:r w:rsidR="00E3136F">
        <w:t xml:space="preserve">ci-dessous composant le </w:t>
      </w:r>
      <w:r w:rsidRPr="003E3B86">
        <w:t xml:space="preserve">dossier </w:t>
      </w:r>
      <w:r w:rsidR="00112F37">
        <w:t xml:space="preserve">d’éligibilité </w:t>
      </w:r>
      <w:r w:rsidRPr="003E3B86">
        <w:t xml:space="preserve">a un caractère </w:t>
      </w:r>
      <w:r w:rsidR="00E3136F" w:rsidRPr="003E3B86">
        <w:t>éliminatoire :</w:t>
      </w:r>
    </w:p>
    <w:p w14:paraId="355E47A0" w14:textId="69CFC28E" w:rsidR="00F4397A" w:rsidRDefault="00F4397A" w:rsidP="008F6A08">
      <w:pPr>
        <w:spacing w:after="0" w:line="240" w:lineRule="auto"/>
      </w:pPr>
    </w:p>
    <w:p w14:paraId="0060E5FA" w14:textId="77777777" w:rsidR="00D61BE6" w:rsidRDefault="00D61BE6" w:rsidP="00D52F47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D61BE6">
        <w:t xml:space="preserve">Qualité de la présentation de l'offre conformément aux indications </w:t>
      </w:r>
    </w:p>
    <w:p w14:paraId="2694616C" w14:textId="28ECB8BE" w:rsidR="000036D6" w:rsidRDefault="000036D6" w:rsidP="000036D6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3E3B86">
        <w:t>Copie de l'accréditation ou agrément IATA</w:t>
      </w:r>
      <w:r>
        <w:t xml:space="preserve"> de l’agence de voyage</w:t>
      </w:r>
      <w:r w:rsidRPr="007B5C97">
        <w:t xml:space="preserve"> </w:t>
      </w:r>
      <w:r>
        <w:t>en cours de validité.</w:t>
      </w:r>
    </w:p>
    <w:p w14:paraId="746D838D" w14:textId="77777777" w:rsidR="000036D6" w:rsidRDefault="000036D6" w:rsidP="000036D6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 xml:space="preserve">Preuve d’appartenance à </w:t>
      </w:r>
      <w:r w:rsidRPr="003E3B86">
        <w:t xml:space="preserve">un système de réservations tel que Amadeus, Galileo, Sabre, Worldspan </w:t>
      </w:r>
      <w:r>
        <w:t>ou équivalent.</w:t>
      </w:r>
    </w:p>
    <w:p w14:paraId="70584683" w14:textId="44BC2374" w:rsidR="00931154" w:rsidRDefault="00931154" w:rsidP="000036D6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 xml:space="preserve">Inscription au </w:t>
      </w:r>
      <w:r w:rsidR="007F2493">
        <w:t>Registre</w:t>
      </w:r>
      <w:r>
        <w:t xml:space="preserve"> du Commerce du Niger</w:t>
      </w:r>
    </w:p>
    <w:p w14:paraId="470ACB54" w14:textId="442F31E4" w:rsidR="007B139A" w:rsidRDefault="007B139A" w:rsidP="000036D6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Attestation de régularité fiscale à jour</w:t>
      </w:r>
    </w:p>
    <w:p w14:paraId="6199D7F6" w14:textId="5E89FE22" w:rsidR="00EC7DC2" w:rsidRPr="000A3DDE" w:rsidRDefault="00EC7DC2" w:rsidP="000036D6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 xml:space="preserve">Certificat de </w:t>
      </w:r>
      <w:r w:rsidR="00A113F8">
        <w:t>non-faillite</w:t>
      </w:r>
      <w:r w:rsidR="00402C43">
        <w:t xml:space="preserve"> </w:t>
      </w:r>
      <w:r w:rsidR="00402C43" w:rsidRPr="000A3DDE">
        <w:t xml:space="preserve">(délivré par </w:t>
      </w:r>
      <w:r w:rsidR="006E0DA6" w:rsidRPr="000A3DDE">
        <w:t>le tribunal du commerce)</w:t>
      </w:r>
    </w:p>
    <w:p w14:paraId="601639A6" w14:textId="5622FD35" w:rsidR="00931154" w:rsidRPr="003E3B86" w:rsidRDefault="00E26AC0" w:rsidP="000036D6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Liste des partenaires (Org</w:t>
      </w:r>
      <w:r w:rsidR="007F2493">
        <w:t>a</w:t>
      </w:r>
      <w:r>
        <w:t xml:space="preserve">nismes, Coopération, </w:t>
      </w:r>
      <w:r w:rsidR="007F40EB">
        <w:t xml:space="preserve">ONGs …) </w:t>
      </w:r>
      <w:r>
        <w:t>au Niger (au moins 5)</w:t>
      </w:r>
    </w:p>
    <w:p w14:paraId="6A72E116" w14:textId="3F9E046A" w:rsidR="00E3136F" w:rsidRDefault="003E3B86" w:rsidP="00F4397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3E3B86">
        <w:t xml:space="preserve">La </w:t>
      </w:r>
      <w:r w:rsidR="00871EB8" w:rsidRPr="003E3B86">
        <w:t>Preuve d'appartenance à l</w:t>
      </w:r>
      <w:r w:rsidRPr="003E3B86">
        <w:t>'association nationale des agences</w:t>
      </w:r>
      <w:r w:rsidR="00871EB8" w:rsidRPr="003E3B86">
        <w:t xml:space="preserve"> de </w:t>
      </w:r>
      <w:r w:rsidR="00112F37">
        <w:t xml:space="preserve">voyage ou </w:t>
      </w:r>
      <w:r w:rsidRPr="003E3B86">
        <w:t>u</w:t>
      </w:r>
      <w:r w:rsidR="00871EB8" w:rsidRPr="003E3B86">
        <w:t>ne (1) lettre de recommandation d'une compagnie aérienne</w:t>
      </w:r>
      <w:r w:rsidRPr="003E3B86">
        <w:t xml:space="preserve"> de catégorie A ou B,</w:t>
      </w:r>
      <w:r w:rsidR="00871EB8" w:rsidRPr="003E3B86">
        <w:t xml:space="preserve"> </w:t>
      </w:r>
      <w:r w:rsidR="00E3136F">
        <w:t xml:space="preserve">autorisée dans l’espace aérien </w:t>
      </w:r>
      <w:r w:rsidR="00BA5497">
        <w:t>nigérien.</w:t>
      </w:r>
    </w:p>
    <w:p w14:paraId="519FAAAF" w14:textId="31D36300" w:rsidR="00A45420" w:rsidRPr="00295A78" w:rsidRDefault="00A45420" w:rsidP="00A45420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295A78">
        <w:t xml:space="preserve">Chiffre </w:t>
      </w:r>
      <w:r w:rsidR="002A312E" w:rsidRPr="00295A78">
        <w:t>d’affaires</w:t>
      </w:r>
      <w:r w:rsidRPr="00295A78">
        <w:t xml:space="preserve"> annuel moyen de l’agence </w:t>
      </w:r>
      <w:r w:rsidR="00D52D42" w:rsidRPr="00295A78">
        <w:t xml:space="preserve">au moins </w:t>
      </w:r>
      <w:r w:rsidR="00DB4A19" w:rsidRPr="00295A78">
        <w:rPr>
          <w:b/>
          <w:bCs/>
        </w:rPr>
        <w:t>75</w:t>
      </w:r>
      <w:r w:rsidR="00D24499" w:rsidRPr="00295A78">
        <w:rPr>
          <w:b/>
          <w:bCs/>
        </w:rPr>
        <w:t xml:space="preserve">.000.000 XOF soit </w:t>
      </w:r>
      <w:r w:rsidR="00DB4A19" w:rsidRPr="00295A78">
        <w:rPr>
          <w:b/>
          <w:bCs/>
        </w:rPr>
        <w:t>114</w:t>
      </w:r>
      <w:r w:rsidR="00B07610" w:rsidRPr="00295A78">
        <w:rPr>
          <w:b/>
          <w:bCs/>
        </w:rPr>
        <w:t>.</w:t>
      </w:r>
      <w:r w:rsidR="00DB4A19" w:rsidRPr="00295A78">
        <w:rPr>
          <w:b/>
          <w:bCs/>
        </w:rPr>
        <w:t>336</w:t>
      </w:r>
      <w:r w:rsidR="00AF7FF3" w:rsidRPr="00295A78">
        <w:rPr>
          <w:b/>
          <w:bCs/>
        </w:rPr>
        <w:t xml:space="preserve"> Euros</w:t>
      </w:r>
      <w:r w:rsidR="00011EAE" w:rsidRPr="00295A78">
        <w:rPr>
          <w:b/>
          <w:bCs/>
        </w:rPr>
        <w:t xml:space="preserve"> (</w:t>
      </w:r>
      <w:r w:rsidR="00DB4A19" w:rsidRPr="00295A78">
        <w:rPr>
          <w:b/>
          <w:bCs/>
        </w:rPr>
        <w:t>Preuve à l’appui</w:t>
      </w:r>
      <w:r w:rsidR="00011EAE" w:rsidRPr="00295A78">
        <w:rPr>
          <w:b/>
          <w:bCs/>
        </w:rPr>
        <w:t>)</w:t>
      </w:r>
      <w:r w:rsidR="00AF7FF3" w:rsidRPr="00295A78">
        <w:rPr>
          <w:b/>
          <w:bCs/>
        </w:rPr>
        <w:t>.</w:t>
      </w:r>
    </w:p>
    <w:p w14:paraId="39272276" w14:textId="3B8C5C83" w:rsidR="00402C43" w:rsidRPr="00295A78" w:rsidRDefault="00402C43" w:rsidP="00A45420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295A78">
        <w:t xml:space="preserve">Avoir au moins </w:t>
      </w:r>
      <w:r w:rsidR="00921256" w:rsidRPr="00295A78">
        <w:t>1</w:t>
      </w:r>
      <w:r w:rsidRPr="00295A78">
        <w:t xml:space="preserve"> contrat de référence dans le domaine de contrat cadre d’agence de voyage</w:t>
      </w:r>
    </w:p>
    <w:p w14:paraId="6EED2D1C" w14:textId="2FAB64AA" w:rsidR="00BA5497" w:rsidRDefault="00BA5497" w:rsidP="00BA5497">
      <w:pPr>
        <w:pStyle w:val="Paragraphedeliste"/>
        <w:spacing w:after="0" w:line="240" w:lineRule="auto"/>
        <w:ind w:left="360"/>
        <w:jc w:val="both"/>
        <w:rPr>
          <w:sz w:val="12"/>
          <w:szCs w:val="12"/>
        </w:rPr>
      </w:pPr>
    </w:p>
    <w:p w14:paraId="5D41A174" w14:textId="77777777" w:rsidR="00295A78" w:rsidRPr="000C28FB" w:rsidRDefault="00295A78" w:rsidP="00BA5497">
      <w:pPr>
        <w:pStyle w:val="Paragraphedeliste"/>
        <w:spacing w:after="0" w:line="240" w:lineRule="auto"/>
        <w:ind w:left="360"/>
        <w:jc w:val="both"/>
        <w:rPr>
          <w:sz w:val="12"/>
          <w:szCs w:val="12"/>
        </w:rPr>
      </w:pPr>
    </w:p>
    <w:p w14:paraId="2467C535" w14:textId="77777777" w:rsidR="00921F37" w:rsidRDefault="00921F37" w:rsidP="00686297">
      <w:pPr>
        <w:pStyle w:val="Titre4"/>
      </w:pPr>
      <w:r w:rsidRPr="00DD4481">
        <w:t>L</w:t>
      </w:r>
      <w:r>
        <w:t>e dossier technique</w:t>
      </w:r>
    </w:p>
    <w:p w14:paraId="3C054970" w14:textId="5124AE1C" w:rsidR="00921F37" w:rsidRDefault="003E3B86" w:rsidP="008F6A08">
      <w:pPr>
        <w:spacing w:after="0" w:line="240" w:lineRule="auto"/>
        <w:jc w:val="both"/>
      </w:pPr>
      <w:bookmarkStart w:id="34" w:name="_Hlk32841957"/>
      <w:r>
        <w:t>Elle est composée des pièces suivantes</w:t>
      </w:r>
    </w:p>
    <w:p w14:paraId="073836DA" w14:textId="77777777" w:rsidR="00EF4824" w:rsidRDefault="00EF4824" w:rsidP="008F6A08">
      <w:pPr>
        <w:spacing w:after="0" w:line="240" w:lineRule="auto"/>
        <w:jc w:val="both"/>
      </w:pPr>
    </w:p>
    <w:bookmarkEnd w:id="34"/>
    <w:p w14:paraId="30D16E4B" w14:textId="6FA84A00" w:rsidR="007B5C97" w:rsidRPr="00295A78" w:rsidRDefault="007B5C97" w:rsidP="007F2493">
      <w:pPr>
        <w:pStyle w:val="Paragraphedeliste"/>
        <w:numPr>
          <w:ilvl w:val="0"/>
          <w:numId w:val="38"/>
        </w:numPr>
        <w:spacing w:after="0" w:line="240" w:lineRule="auto"/>
        <w:jc w:val="both"/>
      </w:pPr>
      <w:r w:rsidRPr="00295A78">
        <w:t xml:space="preserve">L’annexe </w:t>
      </w:r>
      <w:r w:rsidRPr="00295A78">
        <w:rPr>
          <w:b/>
          <w:bCs/>
        </w:rPr>
        <w:t>A</w:t>
      </w:r>
      <w:r w:rsidR="00314859" w:rsidRPr="00295A78">
        <w:rPr>
          <w:b/>
          <w:bCs/>
        </w:rPr>
        <w:t>1</w:t>
      </w:r>
      <w:r w:rsidRPr="00295A78">
        <w:t xml:space="preserve"> dûment rempli et signé</w:t>
      </w:r>
      <w:r w:rsidR="004F4805" w:rsidRPr="00295A78">
        <w:t>.</w:t>
      </w:r>
    </w:p>
    <w:p w14:paraId="2CAF9ED1" w14:textId="77777777" w:rsidR="00295A78" w:rsidRPr="00295A78" w:rsidRDefault="00295A78" w:rsidP="00295A78">
      <w:pPr>
        <w:pStyle w:val="Paragraphedeliste"/>
        <w:spacing w:after="0" w:line="240" w:lineRule="auto"/>
        <w:ind w:left="360"/>
        <w:jc w:val="both"/>
        <w:rPr>
          <w:highlight w:val="yellow"/>
        </w:rPr>
      </w:pPr>
    </w:p>
    <w:p w14:paraId="7B3F5587" w14:textId="77777777" w:rsidR="00295A78" w:rsidRPr="000A3DDE" w:rsidRDefault="00AE3E37" w:rsidP="00295A78">
      <w:pPr>
        <w:pStyle w:val="Paragraphedeliste"/>
        <w:numPr>
          <w:ilvl w:val="0"/>
          <w:numId w:val="38"/>
        </w:numPr>
        <w:spacing w:after="0" w:line="240" w:lineRule="auto"/>
        <w:jc w:val="both"/>
      </w:pPr>
      <w:r w:rsidRPr="000A3DDE">
        <w:t>Offre Technique dans l</w:t>
      </w:r>
      <w:r w:rsidR="004B5FE6" w:rsidRPr="000A3DDE">
        <w:t>aquelle l’agence décrit la compréhension des termes de références ainsi que la méthodologie de travail et sa flexibilité conformément aux point 5 et 6 des présents termes de référence</w:t>
      </w:r>
    </w:p>
    <w:p w14:paraId="02F96633" w14:textId="72E94D17" w:rsidR="004F4805" w:rsidRPr="000A3DDE" w:rsidRDefault="002A312E" w:rsidP="00295A78">
      <w:pPr>
        <w:pStyle w:val="Paragraphedeliste"/>
        <w:numPr>
          <w:ilvl w:val="0"/>
          <w:numId w:val="38"/>
        </w:numPr>
        <w:spacing w:after="0" w:line="240" w:lineRule="auto"/>
        <w:jc w:val="both"/>
      </w:pPr>
      <w:r w:rsidRPr="000A3DDE">
        <w:t>Qualification du personnel</w:t>
      </w:r>
      <w:r w:rsidR="004B5FE6" w:rsidRPr="000A3DDE">
        <w:t xml:space="preserve"> (Le CV du point focal suivant le modèle (voir annexe A6) et</w:t>
      </w:r>
      <w:r w:rsidR="00295A78" w:rsidRPr="000A3DDE">
        <w:t xml:space="preserve"> j</w:t>
      </w:r>
      <w:r w:rsidR="004B5FE6" w:rsidRPr="000A3DDE">
        <w:t>oindre la(les) copie(s) légalisées de chaque preuve d’expérience, y compris la</w:t>
      </w:r>
      <w:r w:rsidR="00295A78" w:rsidRPr="000A3DDE">
        <w:t xml:space="preserve"> </w:t>
      </w:r>
      <w:r w:rsidR="004B5FE6" w:rsidRPr="000A3DDE">
        <w:t>preuve d’employé au sein de l’agence (attestations de travail)</w:t>
      </w:r>
      <w:r w:rsidR="00295A78" w:rsidRPr="000A3DDE">
        <w:t>.</w:t>
      </w:r>
    </w:p>
    <w:p w14:paraId="092645E3" w14:textId="77777777" w:rsidR="004B5FE6" w:rsidRPr="000A3DDE" w:rsidRDefault="004B5FE6" w:rsidP="002A312E">
      <w:pPr>
        <w:pStyle w:val="Paragraphedeliste"/>
        <w:spacing w:after="0" w:line="240" w:lineRule="auto"/>
        <w:ind w:left="0"/>
        <w:jc w:val="both"/>
        <w:rPr>
          <w:b/>
          <w:bCs/>
        </w:rPr>
      </w:pPr>
    </w:p>
    <w:p w14:paraId="547409C1" w14:textId="77777777" w:rsidR="004B5FE6" w:rsidRPr="000A3DDE" w:rsidRDefault="004B5FE6" w:rsidP="00295A78">
      <w:pPr>
        <w:pStyle w:val="Paragraphedeliste"/>
        <w:numPr>
          <w:ilvl w:val="0"/>
          <w:numId w:val="37"/>
        </w:numPr>
        <w:spacing w:line="240" w:lineRule="auto"/>
      </w:pPr>
      <w:r w:rsidRPr="000A3DDE">
        <w:t xml:space="preserve">Avoir fait une formation IATA et Joindre la preuve </w:t>
      </w:r>
    </w:p>
    <w:p w14:paraId="3DB7744E" w14:textId="55CC31A9" w:rsidR="007B5C97" w:rsidRPr="000A3DDE" w:rsidRDefault="004B5FE6" w:rsidP="00295A78">
      <w:pPr>
        <w:pStyle w:val="Paragraphedeliste"/>
        <w:numPr>
          <w:ilvl w:val="0"/>
          <w:numId w:val="37"/>
        </w:numPr>
        <w:spacing w:after="0" w:line="240" w:lineRule="auto"/>
        <w:jc w:val="both"/>
      </w:pPr>
      <w:r w:rsidRPr="000A3DDE">
        <w:t>Avoir une formation (diplôme d'études supérieures en Tourisme et ou Hôtellerie) à justifier</w:t>
      </w:r>
    </w:p>
    <w:p w14:paraId="7D5E1B8B" w14:textId="448B1D91" w:rsidR="002A312E" w:rsidRPr="000A3DDE" w:rsidRDefault="002A312E" w:rsidP="00295A78">
      <w:pPr>
        <w:pStyle w:val="Paragraphedeliste"/>
        <w:numPr>
          <w:ilvl w:val="0"/>
          <w:numId w:val="37"/>
        </w:numPr>
        <w:spacing w:after="0" w:line="240" w:lineRule="auto"/>
        <w:jc w:val="both"/>
      </w:pPr>
      <w:r w:rsidRPr="000A3DDE">
        <w:t>Avoir au moins 5 années d’expérience dans le domaine</w:t>
      </w:r>
      <w:r w:rsidR="004B5FE6" w:rsidRPr="000A3DDE">
        <w:t xml:space="preserve"> de la vente des billets</w:t>
      </w:r>
    </w:p>
    <w:p w14:paraId="057740C5" w14:textId="3CD76B95" w:rsidR="00011EAE" w:rsidRPr="00F46C72" w:rsidRDefault="00011EAE" w:rsidP="00295A78">
      <w:pPr>
        <w:pStyle w:val="Paragraphedeliste"/>
        <w:numPr>
          <w:ilvl w:val="0"/>
          <w:numId w:val="37"/>
        </w:numPr>
        <w:spacing w:after="0" w:line="240" w:lineRule="auto"/>
        <w:jc w:val="both"/>
      </w:pPr>
      <w:r w:rsidRPr="00F46C72">
        <w:t>Au moins deux</w:t>
      </w:r>
      <w:r w:rsidR="00CE6DFC">
        <w:t xml:space="preserve"> (2)</w:t>
      </w:r>
      <w:r w:rsidRPr="00F46C72">
        <w:t xml:space="preserve"> ans d'expérience </w:t>
      </w:r>
      <w:r w:rsidR="00DB4A19" w:rsidRPr="00F46C72">
        <w:t>professionnelle dans</w:t>
      </w:r>
      <w:r w:rsidRPr="00F46C72">
        <w:t xml:space="preserve"> le domaine (Tourisme et hôtellerie)</w:t>
      </w:r>
    </w:p>
    <w:p w14:paraId="67BB1CC6" w14:textId="4375E9AA" w:rsidR="00B81B4D" w:rsidRDefault="00B81B4D" w:rsidP="004B5FE6">
      <w:pPr>
        <w:pStyle w:val="Paragraphedeliste"/>
        <w:spacing w:after="0" w:line="240" w:lineRule="auto"/>
        <w:jc w:val="both"/>
      </w:pPr>
    </w:p>
    <w:p w14:paraId="2825E7FC" w14:textId="77777777" w:rsidR="00295A78" w:rsidRDefault="00295A78" w:rsidP="000C28FB">
      <w:pPr>
        <w:pStyle w:val="Paragraphedeliste"/>
        <w:spacing w:after="0" w:line="240" w:lineRule="auto"/>
        <w:ind w:left="0"/>
        <w:jc w:val="both"/>
      </w:pPr>
    </w:p>
    <w:p w14:paraId="5695FAD7" w14:textId="4367A85F" w:rsidR="004F4805" w:rsidRPr="00F46C72" w:rsidRDefault="000C28FB" w:rsidP="00295A78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b/>
          <w:bCs/>
        </w:rPr>
      </w:pPr>
      <w:r w:rsidRPr="00F46C72">
        <w:rPr>
          <w:b/>
          <w:bCs/>
        </w:rPr>
        <w:t>Expérience et compétence de l’agence</w:t>
      </w:r>
    </w:p>
    <w:p w14:paraId="1F466FC0" w14:textId="3AA2B06B" w:rsidR="000C28FB" w:rsidRPr="00F46C72" w:rsidRDefault="000C28FB" w:rsidP="000C28FB">
      <w:pPr>
        <w:pStyle w:val="Paragraphedeliste"/>
        <w:numPr>
          <w:ilvl w:val="0"/>
          <w:numId w:val="32"/>
        </w:numPr>
        <w:spacing w:after="0" w:line="240" w:lineRule="auto"/>
        <w:ind w:left="720"/>
        <w:jc w:val="both"/>
      </w:pPr>
      <w:r w:rsidRPr="00F46C72">
        <w:t xml:space="preserve">Expérience d’au moins 5 ans dans le domaine </w:t>
      </w:r>
      <w:r w:rsidR="00DB4A19" w:rsidRPr="00F46C72">
        <w:t xml:space="preserve">d’agence de voyage </w:t>
      </w:r>
      <w:r w:rsidRPr="00F46C72">
        <w:t>au Niger</w:t>
      </w:r>
    </w:p>
    <w:p w14:paraId="61B3E1A4" w14:textId="73916D27" w:rsidR="003E3B86" w:rsidRPr="00F46C72" w:rsidRDefault="003E3B86" w:rsidP="000C28FB">
      <w:pPr>
        <w:pStyle w:val="Paragraphedeliste"/>
        <w:numPr>
          <w:ilvl w:val="0"/>
          <w:numId w:val="32"/>
        </w:numPr>
        <w:spacing w:after="0" w:line="240" w:lineRule="auto"/>
        <w:ind w:left="720"/>
        <w:jc w:val="both"/>
      </w:pPr>
      <w:r w:rsidRPr="00F46C72">
        <w:t>La liste des compagnies aériennes partenaire</w:t>
      </w:r>
      <w:r w:rsidR="00E3136F" w:rsidRPr="00F46C72">
        <w:t>s</w:t>
      </w:r>
      <w:r w:rsidRPr="00F46C72">
        <w:t xml:space="preserve"> à </w:t>
      </w:r>
      <w:r w:rsidR="007B5C97" w:rsidRPr="00F46C72">
        <w:t xml:space="preserve">la </w:t>
      </w:r>
      <w:r w:rsidRPr="00F46C72">
        <w:t>date</w:t>
      </w:r>
      <w:r w:rsidR="007B5C97" w:rsidRPr="00F46C72">
        <w:t xml:space="preserve"> de soumission de l’offre</w:t>
      </w:r>
      <w:r w:rsidR="00DB4A19" w:rsidRPr="00F46C72">
        <w:t>, avec au moins cinq conventions signées et à prouver</w:t>
      </w:r>
    </w:p>
    <w:p w14:paraId="051EC463" w14:textId="2E30917C" w:rsidR="00AE3E37" w:rsidRPr="00F46C72" w:rsidRDefault="002A312E" w:rsidP="00AE3E37">
      <w:pPr>
        <w:pStyle w:val="Paragraphedeliste"/>
        <w:numPr>
          <w:ilvl w:val="0"/>
          <w:numId w:val="32"/>
        </w:numPr>
        <w:spacing w:after="0" w:line="240" w:lineRule="auto"/>
        <w:ind w:left="720"/>
        <w:jc w:val="both"/>
      </w:pPr>
      <w:r w:rsidRPr="00F46C72">
        <w:t>P</w:t>
      </w:r>
      <w:r w:rsidR="003E3B86" w:rsidRPr="00F46C72">
        <w:t>résence</w:t>
      </w:r>
      <w:r w:rsidR="001F01FF" w:rsidRPr="00F46C72">
        <w:t xml:space="preserve"> régionale </w:t>
      </w:r>
      <w:r w:rsidR="003E3B86" w:rsidRPr="00F46C72">
        <w:t xml:space="preserve">de l’agence </w:t>
      </w:r>
      <w:r w:rsidR="00AE3E37" w:rsidRPr="00F46C72">
        <w:t xml:space="preserve">dans au moins trois (03) pays dans le monde </w:t>
      </w:r>
    </w:p>
    <w:p w14:paraId="7C48DDE3" w14:textId="5FD2D36C" w:rsidR="004F4805" w:rsidRPr="00F46C72" w:rsidRDefault="00AE3E37" w:rsidP="00AE3E37">
      <w:pPr>
        <w:pStyle w:val="Paragraphedeliste"/>
        <w:numPr>
          <w:ilvl w:val="0"/>
          <w:numId w:val="32"/>
        </w:numPr>
        <w:spacing w:after="0" w:line="240" w:lineRule="auto"/>
        <w:ind w:left="720"/>
        <w:jc w:val="both"/>
      </w:pPr>
      <w:r w:rsidRPr="00F46C72">
        <w:t>Expérience de travail avec des grands clients, publiques ou privés ainsi que des agences de développement, présenté dans un tableau avec l’adresse et le contact de la référence. Au moins 5 attestations de bonne exécution des prestations avec les partenaires avec lesquelles l'agence a collaboré et offert des prestations similaires</w:t>
      </w:r>
    </w:p>
    <w:p w14:paraId="58E4613E" w14:textId="77777777" w:rsidR="00AE3E37" w:rsidRDefault="00AE3E37" w:rsidP="00AE3E37">
      <w:pPr>
        <w:pStyle w:val="Paragraphedeliste"/>
        <w:spacing w:after="0" w:line="240" w:lineRule="auto"/>
        <w:jc w:val="both"/>
      </w:pPr>
    </w:p>
    <w:p w14:paraId="00D9270A" w14:textId="121CFC2D" w:rsidR="001F01FF" w:rsidRDefault="001F01FF" w:rsidP="008F6A08">
      <w:pPr>
        <w:spacing w:after="0" w:line="240" w:lineRule="auto"/>
        <w:jc w:val="both"/>
      </w:pPr>
      <w:r>
        <w:t xml:space="preserve">La GIZ se réserve le droit de confirmer </w:t>
      </w:r>
      <w:r w:rsidR="007B5C97">
        <w:t xml:space="preserve">toutes </w:t>
      </w:r>
      <w:r>
        <w:t>les informations fournies.</w:t>
      </w:r>
      <w:r w:rsidR="007B5C97">
        <w:t xml:space="preserve"> </w:t>
      </w:r>
      <w:r>
        <w:t>Fournir des informations incorrectes ou de nature à induire la GIZ en erreur entraînera la disqualification du soumissionnaire des appels d’offre de la GIZ</w:t>
      </w:r>
      <w:r w:rsidR="00140F52">
        <w:t>.</w:t>
      </w:r>
      <w:r>
        <w:t xml:space="preserve"> </w:t>
      </w:r>
    </w:p>
    <w:p w14:paraId="27F92624" w14:textId="77777777" w:rsidR="003E3B86" w:rsidRPr="003E3B86" w:rsidRDefault="003E3B86" w:rsidP="008F6A08">
      <w:pPr>
        <w:pStyle w:val="Paragraphedeliste"/>
        <w:spacing w:after="0" w:line="240" w:lineRule="auto"/>
        <w:ind w:left="0"/>
        <w:jc w:val="both"/>
      </w:pPr>
    </w:p>
    <w:p w14:paraId="567294F1" w14:textId="77777777" w:rsidR="00921F37" w:rsidRDefault="00921F37" w:rsidP="00A23323">
      <w:pPr>
        <w:pStyle w:val="Titre3"/>
      </w:pPr>
      <w:bookmarkStart w:id="35" w:name="_Toc33436475"/>
      <w:bookmarkStart w:id="36" w:name="_Toc33546620"/>
      <w:bookmarkStart w:id="37" w:name="_Toc34049118"/>
      <w:r>
        <w:t>L’offre financière</w:t>
      </w:r>
      <w:bookmarkEnd w:id="35"/>
      <w:bookmarkEnd w:id="36"/>
      <w:bookmarkEnd w:id="37"/>
    </w:p>
    <w:p w14:paraId="3E781AF7" w14:textId="4B960AA3" w:rsidR="00871EB8" w:rsidRDefault="00871EB8" w:rsidP="008F6A08">
      <w:pPr>
        <w:spacing w:after="0" w:line="240" w:lineRule="auto"/>
        <w:jc w:val="both"/>
      </w:pPr>
      <w:r>
        <w:t xml:space="preserve">Un canevas d’offre financière </w:t>
      </w:r>
      <w:r w:rsidR="007F2493">
        <w:t xml:space="preserve">(Annexe </w:t>
      </w:r>
      <w:r w:rsidR="007F2493" w:rsidRPr="007F2493">
        <w:rPr>
          <w:b/>
          <w:bCs/>
        </w:rPr>
        <w:t>A2</w:t>
      </w:r>
      <w:r w:rsidR="007F2493">
        <w:t xml:space="preserve">) </w:t>
      </w:r>
      <w:r>
        <w:t xml:space="preserve">est fourni comme référence. </w:t>
      </w:r>
      <w:r w:rsidR="00921F37">
        <w:t>L</w:t>
      </w:r>
      <w:r>
        <w:t>’agence soumet une offre financière suivant les quantités données, et conformément aux coûts les plus compétitifs qu’il offre à la date de soumission, pour une durée de voyage de dix (jours).</w:t>
      </w:r>
      <w:r w:rsidR="00140F52">
        <w:t xml:space="preserve"> </w:t>
      </w:r>
      <w:r>
        <w:t>L’offre</w:t>
      </w:r>
      <w:r w:rsidR="00112F37">
        <w:t xml:space="preserve"> inclus uniquement </w:t>
      </w:r>
      <w:r w:rsidR="00140F52">
        <w:t>le prix du billet.</w:t>
      </w:r>
    </w:p>
    <w:p w14:paraId="15CC39A9" w14:textId="07DEDA2E" w:rsidR="00871EB8" w:rsidRDefault="00871EB8" w:rsidP="008F6A08">
      <w:pPr>
        <w:spacing w:after="0" w:line="240" w:lineRule="auto"/>
        <w:jc w:val="both"/>
      </w:pPr>
    </w:p>
    <w:p w14:paraId="6D1A6BDB" w14:textId="77777777" w:rsidR="00921F37" w:rsidRDefault="00921F37" w:rsidP="00A23323">
      <w:pPr>
        <w:pStyle w:val="Titre3"/>
      </w:pPr>
      <w:bookmarkStart w:id="38" w:name="_Toc33436476"/>
      <w:bookmarkStart w:id="39" w:name="_Toc33546621"/>
      <w:bookmarkStart w:id="40" w:name="_Toc34049119"/>
      <w:r>
        <w:t>Evaluation des offres</w:t>
      </w:r>
      <w:bookmarkEnd w:id="38"/>
      <w:bookmarkEnd w:id="39"/>
      <w:bookmarkEnd w:id="40"/>
    </w:p>
    <w:p w14:paraId="29A8AA05" w14:textId="77777777" w:rsidR="00921F37" w:rsidRPr="00CD5ADA" w:rsidRDefault="00921F37" w:rsidP="00686297">
      <w:pPr>
        <w:pStyle w:val="Titre4"/>
        <w:rPr>
          <w:b w:val="0"/>
          <w:bCs/>
          <w:i/>
          <w:iCs w:val="0"/>
        </w:rPr>
      </w:pPr>
      <w:r w:rsidRPr="00CD5ADA">
        <w:rPr>
          <w:b w:val="0"/>
          <w:bCs/>
          <w:i/>
          <w:iCs w:val="0"/>
        </w:rPr>
        <w:t>Evaluation technique</w:t>
      </w:r>
    </w:p>
    <w:p w14:paraId="468F463A" w14:textId="102E4F70" w:rsidR="00921F37" w:rsidRDefault="00921F37" w:rsidP="008F6A08">
      <w:pPr>
        <w:spacing w:after="0" w:line="240" w:lineRule="auto"/>
        <w:jc w:val="both"/>
      </w:pPr>
      <w:r>
        <w:t>L’évaluation des offres technique</w:t>
      </w:r>
      <w:r w:rsidR="00140F52">
        <w:t>s</w:t>
      </w:r>
      <w:r>
        <w:t xml:space="preserve"> se fera selon la matrice à l'annex</w:t>
      </w:r>
      <w:r w:rsidR="00140F52">
        <w:t xml:space="preserve">e </w:t>
      </w:r>
      <w:r w:rsidR="007C0A4E">
        <w:t>3</w:t>
      </w:r>
      <w:r w:rsidR="00140F52">
        <w:t xml:space="preserve">. Chaque critère obtient une </w:t>
      </w:r>
      <w:r>
        <w:t xml:space="preserve">note T qui est le produit du point P et un pourcentage W définissant le poids attribué au critère. T=P*W. Les soumissionnaires n’ayant pas obtenu une note T supérieur ou égale à </w:t>
      </w:r>
      <w:r w:rsidR="00D02C4C">
        <w:t>5</w:t>
      </w:r>
      <w:r w:rsidRPr="00D02C4C">
        <w:t>0</w:t>
      </w:r>
      <w:r>
        <w:t xml:space="preserve"> sont éliminés.</w:t>
      </w:r>
    </w:p>
    <w:p w14:paraId="0185F2B2" w14:textId="77777777" w:rsidR="00921F37" w:rsidRPr="00BF0BC7" w:rsidRDefault="00921F37" w:rsidP="008F6A08">
      <w:pPr>
        <w:spacing w:after="0" w:line="240" w:lineRule="auto"/>
        <w:jc w:val="both"/>
      </w:pPr>
    </w:p>
    <w:p w14:paraId="0ABC3F0E" w14:textId="77777777" w:rsidR="00921F37" w:rsidRPr="00CD5ADA" w:rsidRDefault="00921F37" w:rsidP="00686297">
      <w:pPr>
        <w:pStyle w:val="Titre4"/>
        <w:rPr>
          <w:b w:val="0"/>
          <w:bCs/>
          <w:i/>
          <w:iCs w:val="0"/>
        </w:rPr>
      </w:pPr>
      <w:r w:rsidRPr="00CD5ADA">
        <w:rPr>
          <w:b w:val="0"/>
          <w:bCs/>
          <w:i/>
          <w:iCs w:val="0"/>
        </w:rPr>
        <w:t>Evaluation financière</w:t>
      </w:r>
    </w:p>
    <w:p w14:paraId="72CBABE3" w14:textId="7D693936" w:rsidR="00921F37" w:rsidRPr="00BF0BC7" w:rsidRDefault="00140F52" w:rsidP="008F6A08">
      <w:pPr>
        <w:spacing w:after="0" w:line="240" w:lineRule="auto"/>
        <w:jc w:val="both"/>
      </w:pPr>
      <w:r>
        <w:t>Les offres ayant obtenu</w:t>
      </w:r>
      <w:r w:rsidR="00921F37">
        <w:t xml:space="preserve"> une note technique </w:t>
      </w:r>
      <w:r w:rsidR="00D02C4C" w:rsidRPr="00D02C4C">
        <w:t>T=5</w:t>
      </w:r>
      <w:r w:rsidR="00921F37" w:rsidRPr="00D02C4C">
        <w:t>0</w:t>
      </w:r>
      <w:r w:rsidR="00921F37">
        <w:t xml:space="preserve"> points au moins sont évaluées financièrement. Leur offre financière est ouverte et l’offre ayant proposé le montant M le moins élevé, obtient la note financière F= 30 points. Les notes Fi des autres offres financières Mi sont calculées de façon proportionnellement inversée, soit Fi=M*30/Mi. Les notes financière</w:t>
      </w:r>
      <w:r>
        <w:t>s</w:t>
      </w:r>
      <w:r w:rsidR="00921F37">
        <w:t xml:space="preserve"> F</w:t>
      </w:r>
      <w:r>
        <w:t>i</w:t>
      </w:r>
      <w:r w:rsidR="00921F37">
        <w:t xml:space="preserve"> sont pondérées à 30%, soit une note financière N</w:t>
      </w:r>
      <w:r w:rsidR="00921F37">
        <w:rPr>
          <w:vertAlign w:val="subscript"/>
        </w:rPr>
        <w:t xml:space="preserve">F = </w:t>
      </w:r>
      <w:r w:rsidR="00921F37">
        <w:t>F*30</w:t>
      </w:r>
      <w:r w:rsidR="00921F37" w:rsidRPr="0031565F">
        <w:t>%</w:t>
      </w:r>
    </w:p>
    <w:p w14:paraId="0A8E2AD4" w14:textId="77777777" w:rsidR="00921F37" w:rsidRDefault="00921F37" w:rsidP="008F6A08">
      <w:pPr>
        <w:spacing w:after="0" w:line="240" w:lineRule="auto"/>
        <w:jc w:val="both"/>
      </w:pPr>
    </w:p>
    <w:p w14:paraId="0B0DAC8F" w14:textId="77777777" w:rsidR="00921F37" w:rsidRDefault="00921F37" w:rsidP="00686297">
      <w:pPr>
        <w:pStyle w:val="Sansinterligne"/>
      </w:pPr>
      <w:bookmarkStart w:id="41" w:name="_Toc33436477"/>
      <w:bookmarkStart w:id="42" w:name="_Toc33546622"/>
      <w:bookmarkStart w:id="43" w:name="_Toc34049120"/>
      <w:r>
        <w:t>Attribution</w:t>
      </w:r>
      <w:bookmarkEnd w:id="41"/>
      <w:bookmarkEnd w:id="42"/>
      <w:bookmarkEnd w:id="43"/>
    </w:p>
    <w:p w14:paraId="6B6749C7" w14:textId="77777777" w:rsidR="00112F37" w:rsidRDefault="00921F37" w:rsidP="008F6A08">
      <w:pPr>
        <w:spacing w:after="0" w:line="240" w:lineRule="auto"/>
        <w:jc w:val="both"/>
      </w:pPr>
      <w:r>
        <w:t>Le marché sera attribué au</w:t>
      </w:r>
      <w:r w:rsidRPr="00BF0BC7">
        <w:t xml:space="preserve"> </w:t>
      </w:r>
      <w:r>
        <w:t>soumissionnaire ayant obtenu</w:t>
      </w:r>
      <w:r w:rsidRPr="00BF0BC7">
        <w:t xml:space="preserve"> la note la plus élevée</w:t>
      </w:r>
      <w:r>
        <w:t xml:space="preserve"> N</w:t>
      </w:r>
      <w:r w:rsidRPr="0031565F">
        <w:rPr>
          <w:vertAlign w:val="subscript"/>
        </w:rPr>
        <w:t>T</w:t>
      </w:r>
      <w:r>
        <w:rPr>
          <w:vertAlign w:val="subscript"/>
        </w:rPr>
        <w:t xml:space="preserve"> </w:t>
      </w:r>
      <w:r>
        <w:t>+</w:t>
      </w:r>
      <w:r w:rsidRPr="00BF0BC7">
        <w:t xml:space="preserve"> </w:t>
      </w:r>
      <w:r>
        <w:t>N</w:t>
      </w:r>
      <w:r>
        <w:rPr>
          <w:vertAlign w:val="subscript"/>
        </w:rPr>
        <w:t>F</w:t>
      </w:r>
      <w:r w:rsidRPr="00BF0BC7">
        <w:t>. L’ouverture des plis se fera en séance restreinte par un comité désigné par la GIZ.</w:t>
      </w:r>
      <w:r>
        <w:t xml:space="preserve"> </w:t>
      </w:r>
      <w:r w:rsidRPr="00BF0BC7">
        <w:t>L</w:t>
      </w:r>
      <w:bookmarkStart w:id="44" w:name="_Hlk33706266"/>
      <w:r w:rsidRPr="00BF0BC7">
        <w:t>a GIZ n’est pas tenue de fournir aux candid</w:t>
      </w:r>
      <w:r w:rsidR="00112F37">
        <w:t>ats des explications sur l’évaluation des offres. Si vous n’êtes pas notifiés après un (01) mois, veuillez considérer que votre offre n’est pas retenue.</w:t>
      </w:r>
      <w:bookmarkEnd w:id="44"/>
    </w:p>
    <w:bookmarkEnd w:id="30"/>
    <w:p w14:paraId="21241024" w14:textId="372955C6" w:rsidR="00921F37" w:rsidRDefault="00921F37" w:rsidP="008F6A08">
      <w:pPr>
        <w:spacing w:after="0" w:line="240" w:lineRule="auto"/>
        <w:jc w:val="both"/>
      </w:pPr>
    </w:p>
    <w:p w14:paraId="47CC5C81" w14:textId="1533AB5A" w:rsidR="00D02C4C" w:rsidRDefault="00D02C4C" w:rsidP="00A23323">
      <w:pPr>
        <w:pStyle w:val="Sansinterligne"/>
      </w:pPr>
      <w:bookmarkStart w:id="45" w:name="_Hlk34399128"/>
      <w:r>
        <w:t>Validité des offres</w:t>
      </w:r>
    </w:p>
    <w:p w14:paraId="7A416054" w14:textId="64EF7D80" w:rsidR="00D02C4C" w:rsidRDefault="00D02C4C" w:rsidP="008F6A08">
      <w:pPr>
        <w:spacing w:after="0" w:line="240" w:lineRule="auto"/>
      </w:pPr>
      <w:r>
        <w:t>Les offres reste valide trois mois soit 90 jours calendaires.</w:t>
      </w:r>
    </w:p>
    <w:bookmarkEnd w:id="45"/>
    <w:p w14:paraId="52AE7CE1" w14:textId="77777777" w:rsidR="00D02C4C" w:rsidRPr="00206D30" w:rsidRDefault="00D02C4C" w:rsidP="008F6A08">
      <w:pPr>
        <w:pStyle w:val="Sansinterligne"/>
        <w:numPr>
          <w:ilvl w:val="0"/>
          <w:numId w:val="0"/>
        </w:numPr>
        <w:spacing w:line="240" w:lineRule="auto"/>
      </w:pPr>
    </w:p>
    <w:p w14:paraId="7F8C0A58" w14:textId="77777777" w:rsidR="00921F37" w:rsidRPr="00206D30" w:rsidRDefault="00921F37" w:rsidP="00A23323">
      <w:pPr>
        <w:pStyle w:val="Sansinterligne"/>
      </w:pPr>
      <w:r w:rsidRPr="00206D30">
        <w:t>Durée du contrat</w:t>
      </w:r>
    </w:p>
    <w:p w14:paraId="5E38B14E" w14:textId="6E6BE221" w:rsidR="00D02C4C" w:rsidRDefault="005F0001" w:rsidP="008F6A08">
      <w:pPr>
        <w:spacing w:after="0" w:line="240" w:lineRule="auto"/>
        <w:jc w:val="both"/>
      </w:pPr>
      <w:r>
        <w:t xml:space="preserve">La GIZ signera un contrat cadre avec </w:t>
      </w:r>
      <w:r w:rsidR="00921256" w:rsidRPr="00F46C72">
        <w:t>1</w:t>
      </w:r>
      <w:r w:rsidR="009A72B2" w:rsidRPr="00F46C72">
        <w:t xml:space="preserve"> </w:t>
      </w:r>
      <w:r w:rsidR="00D02C4C" w:rsidRPr="00F46C72">
        <w:t>agence de voyage</w:t>
      </w:r>
      <w:r w:rsidR="00D02C4C">
        <w:t xml:space="preserve"> </w:t>
      </w:r>
      <w:r w:rsidR="00921F37" w:rsidRPr="00206D30">
        <w:t xml:space="preserve">pour une durée </w:t>
      </w:r>
      <w:r w:rsidR="004F5912" w:rsidRPr="00206D30">
        <w:t>d</w:t>
      </w:r>
      <w:r w:rsidR="004F5912">
        <w:t>e (</w:t>
      </w:r>
      <w:r w:rsidR="00921F37" w:rsidRPr="00206D30">
        <w:t>01) an. Le contrat est renouvelable par tacite reconduction</w:t>
      </w:r>
      <w:r>
        <w:t xml:space="preserve"> s</w:t>
      </w:r>
      <w:r w:rsidR="00921F37" w:rsidRPr="00206D30">
        <w:t>i la GIZ est satisfaite des prestations offertes</w:t>
      </w:r>
      <w:r>
        <w:t>. E</w:t>
      </w:r>
      <w:r w:rsidR="00921F37" w:rsidRPr="00206D30">
        <w:t xml:space="preserve">lle </w:t>
      </w:r>
      <w:r w:rsidR="00921F37">
        <w:t xml:space="preserve">notifiera </w:t>
      </w:r>
      <w:r w:rsidR="00921F37" w:rsidRPr="00206D30">
        <w:t xml:space="preserve">par courrier recommandé la reconduction du contrat pour une période identique d’un (01) an, ce jusqu’à </w:t>
      </w:r>
      <w:r>
        <w:t xml:space="preserve">3 </w:t>
      </w:r>
      <w:r w:rsidR="00921F37" w:rsidRPr="00206D30">
        <w:t>reconductions. Dans tous les cas après quatre (</w:t>
      </w:r>
      <w:r w:rsidR="00921F37">
        <w:t>04</w:t>
      </w:r>
      <w:r w:rsidR="00921F37" w:rsidRPr="00206D30">
        <w:t>)</w:t>
      </w:r>
      <w:r w:rsidR="00921F37">
        <w:t xml:space="preserve"> année</w:t>
      </w:r>
      <w:r w:rsidR="00047736">
        <w:t>s</w:t>
      </w:r>
      <w:r w:rsidR="00921F37" w:rsidRPr="00206D30">
        <w:t xml:space="preserve"> d’exercice satisfaisant, la GIZ va reconsulter le marché en relançant un nouvel appel d’offre pour la prestation d</w:t>
      </w:r>
      <w:r w:rsidR="00D02C4C">
        <w:t>’agence de voyage.</w:t>
      </w:r>
    </w:p>
    <w:p w14:paraId="2BC62596" w14:textId="75AB6EBA" w:rsidR="007C0A4E" w:rsidRDefault="007C0A4E" w:rsidP="008F6A08">
      <w:pPr>
        <w:spacing w:after="0" w:line="240" w:lineRule="auto"/>
        <w:jc w:val="both"/>
      </w:pPr>
    </w:p>
    <w:p w14:paraId="4CC3D818" w14:textId="1045FABF" w:rsidR="00112309" w:rsidRDefault="00112309" w:rsidP="008F6A08">
      <w:pPr>
        <w:spacing w:after="0" w:line="240" w:lineRule="auto"/>
        <w:jc w:val="both"/>
      </w:pPr>
    </w:p>
    <w:p w14:paraId="3064D7C8" w14:textId="34B47BC7" w:rsidR="00BE218E" w:rsidRPr="007006E0" w:rsidRDefault="00BE218E" w:rsidP="00686297">
      <w:pPr>
        <w:pStyle w:val="Sansinterligne"/>
      </w:pPr>
      <w:bookmarkStart w:id="46" w:name="_Toc33546623"/>
      <w:bookmarkStart w:id="47" w:name="_Toc34049121"/>
      <w:r w:rsidRPr="007006E0">
        <w:t>Modalités de paiement</w:t>
      </w:r>
      <w:bookmarkEnd w:id="46"/>
      <w:bookmarkEnd w:id="47"/>
    </w:p>
    <w:p w14:paraId="450B8BDF" w14:textId="78520BB7" w:rsidR="00495EC6" w:rsidRDefault="00481F68" w:rsidP="008F6A08">
      <w:pPr>
        <w:spacing w:after="0" w:line="240" w:lineRule="auto"/>
        <w:jc w:val="both"/>
      </w:pPr>
      <w:r w:rsidRPr="007006E0">
        <w:t>L</w:t>
      </w:r>
      <w:r>
        <w:t xml:space="preserve">es factures sont payées selon les procédures de la GIZ. Libellées au nom de la GIZ au </w:t>
      </w:r>
      <w:r w:rsidR="00F04679">
        <w:t>Niger</w:t>
      </w:r>
      <w:r>
        <w:t xml:space="preserve">, </w:t>
      </w:r>
      <w:r w:rsidR="002E0C32">
        <w:t xml:space="preserve">elles indiquent de façon évidente le </w:t>
      </w:r>
      <w:r w:rsidR="002E0C32" w:rsidRPr="00404220">
        <w:t xml:space="preserve">numéro de contrat, </w:t>
      </w:r>
      <w:r w:rsidR="002E0C32">
        <w:t xml:space="preserve">et </w:t>
      </w:r>
      <w:r w:rsidR="002E0C32" w:rsidRPr="00404220">
        <w:t xml:space="preserve">le </w:t>
      </w:r>
      <w:r w:rsidR="002E0C32">
        <w:t>numéro du projet (PN)</w:t>
      </w:r>
      <w:r w:rsidR="002E0C32" w:rsidRPr="00404220">
        <w:t>.</w:t>
      </w:r>
      <w:r w:rsidR="002E0C32">
        <w:t xml:space="preserve"> E</w:t>
      </w:r>
      <w:r>
        <w:t xml:space="preserve">lles sont introduites au bureau national </w:t>
      </w:r>
      <w:r w:rsidR="002E0C32">
        <w:t xml:space="preserve">pour le contrôle et le visa du </w:t>
      </w:r>
      <w:r w:rsidR="002E0C32" w:rsidRPr="004270FC">
        <w:t xml:space="preserve">Directeur Administratif et Financier </w:t>
      </w:r>
      <w:r w:rsidR="002E0C32">
        <w:t xml:space="preserve">et par délégation les services de facturation </w:t>
      </w:r>
      <w:r w:rsidR="000909CD">
        <w:t xml:space="preserve">et </w:t>
      </w:r>
      <w:r w:rsidR="00FD3806">
        <w:t>la chargée d’achat</w:t>
      </w:r>
      <w:r w:rsidR="000909CD">
        <w:t xml:space="preserve">. </w:t>
      </w:r>
      <w:bookmarkStart w:id="48" w:name="_Hlk33681042"/>
      <w:r>
        <w:t xml:space="preserve">Le délai de traitement est </w:t>
      </w:r>
      <w:r w:rsidR="006A131E">
        <w:t>d’un (01) mois au plus à partir du moment où le dossier de paiement est complet.</w:t>
      </w:r>
      <w:bookmarkEnd w:id="48"/>
    </w:p>
    <w:p w14:paraId="7E985A39" w14:textId="77777777" w:rsidR="00FD3806" w:rsidRDefault="00FD3806" w:rsidP="008F6A08">
      <w:pPr>
        <w:spacing w:after="0" w:line="240" w:lineRule="auto"/>
        <w:jc w:val="both"/>
      </w:pPr>
    </w:p>
    <w:p w14:paraId="400EED70" w14:textId="79D4C448" w:rsidR="00140F52" w:rsidRDefault="00495EC6" w:rsidP="008F6A08">
      <w:pPr>
        <w:spacing w:after="0" w:line="240" w:lineRule="auto"/>
        <w:jc w:val="both"/>
      </w:pPr>
      <w:r>
        <w:t>L’</w:t>
      </w:r>
      <w:r w:rsidR="00140F52">
        <w:t>agence doit soumettre au plus tôt les factures à la GIZ</w:t>
      </w:r>
      <w:r>
        <w:t>, accompagnées des pièces justificatives, no</w:t>
      </w:r>
      <w:r w:rsidR="00140F52">
        <w:t>tamment :</w:t>
      </w:r>
    </w:p>
    <w:p w14:paraId="727AFAFC" w14:textId="09B8604B" w:rsidR="00A23323" w:rsidRDefault="004F5912" w:rsidP="004F5912">
      <w:pPr>
        <w:tabs>
          <w:tab w:val="left" w:pos="5633"/>
        </w:tabs>
        <w:spacing w:after="0" w:line="240" w:lineRule="auto"/>
        <w:jc w:val="both"/>
      </w:pPr>
      <w:r>
        <w:tab/>
      </w:r>
    </w:p>
    <w:p w14:paraId="2DD38A66" w14:textId="7949A0E4" w:rsidR="00495EC6" w:rsidRDefault="00495EC6" w:rsidP="00FC2E28">
      <w:pPr>
        <w:pStyle w:val="Paragraphedeliste"/>
        <w:numPr>
          <w:ilvl w:val="0"/>
          <w:numId w:val="34"/>
        </w:numPr>
        <w:spacing w:after="0" w:line="240" w:lineRule="auto"/>
        <w:jc w:val="both"/>
      </w:pPr>
      <w:r>
        <w:t>Le relevé des billets acquis et consommés par la GIZ pour la période</w:t>
      </w:r>
      <w:r w:rsidR="00A23323">
        <w:t>.</w:t>
      </w:r>
    </w:p>
    <w:p w14:paraId="18AE36BA" w14:textId="77777777" w:rsidR="00A23323" w:rsidRDefault="00A23323" w:rsidP="00FC2E28">
      <w:pPr>
        <w:pStyle w:val="Paragraphedeliste"/>
        <w:spacing w:after="0" w:line="240" w:lineRule="auto"/>
        <w:ind w:left="360"/>
        <w:jc w:val="both"/>
      </w:pPr>
    </w:p>
    <w:p w14:paraId="27712D38" w14:textId="366085BD" w:rsidR="00495EC6" w:rsidRDefault="00495EC6" w:rsidP="00FC2E28">
      <w:pPr>
        <w:pStyle w:val="Paragraphedeliste"/>
        <w:numPr>
          <w:ilvl w:val="0"/>
          <w:numId w:val="34"/>
        </w:numPr>
        <w:spacing w:after="0" w:line="240" w:lineRule="auto"/>
        <w:jc w:val="both"/>
      </w:pPr>
      <w:r>
        <w:t>Les factures individuelles correspondant à chaque ligne du relevé, et indiquant les informations suivantes</w:t>
      </w:r>
      <w:r w:rsidR="00A23323">
        <w:t xml:space="preserve"> : </w:t>
      </w:r>
    </w:p>
    <w:p w14:paraId="2FF783DF" w14:textId="77777777" w:rsidR="00A23323" w:rsidRDefault="00A23323" w:rsidP="00A23323">
      <w:pPr>
        <w:pStyle w:val="Paragraphedeliste"/>
        <w:spacing w:after="0" w:line="240" w:lineRule="auto"/>
        <w:ind w:left="0"/>
        <w:jc w:val="both"/>
      </w:pPr>
    </w:p>
    <w:p w14:paraId="3BE07FBB" w14:textId="00221875" w:rsidR="00495EC6" w:rsidRDefault="00495EC6" w:rsidP="00A23323">
      <w:pPr>
        <w:pStyle w:val="Paragraphedeliste"/>
        <w:numPr>
          <w:ilvl w:val="0"/>
          <w:numId w:val="26"/>
        </w:numPr>
        <w:spacing w:after="0" w:line="240" w:lineRule="auto"/>
        <w:jc w:val="both"/>
      </w:pPr>
      <w:r>
        <w:t xml:space="preserve">Numéro </w:t>
      </w:r>
      <w:r w:rsidR="00FC2E28">
        <w:t>du bon de commande</w:t>
      </w:r>
    </w:p>
    <w:p w14:paraId="2E91003A" w14:textId="5826C01B" w:rsidR="00495EC6" w:rsidRDefault="00495EC6" w:rsidP="00A23323">
      <w:pPr>
        <w:pStyle w:val="Paragraphedeliste"/>
        <w:numPr>
          <w:ilvl w:val="0"/>
          <w:numId w:val="26"/>
        </w:numPr>
        <w:spacing w:after="0" w:line="240" w:lineRule="auto"/>
        <w:jc w:val="both"/>
      </w:pPr>
      <w:r>
        <w:t xml:space="preserve">Numéro </w:t>
      </w:r>
      <w:r w:rsidR="00FC2E28">
        <w:t>du billet</w:t>
      </w:r>
    </w:p>
    <w:p w14:paraId="679A6DD8" w14:textId="7FFB7F68" w:rsidR="00495EC6" w:rsidRDefault="00495EC6" w:rsidP="00A23323">
      <w:pPr>
        <w:pStyle w:val="Paragraphedeliste"/>
        <w:numPr>
          <w:ilvl w:val="0"/>
          <w:numId w:val="26"/>
        </w:numPr>
        <w:spacing w:after="0" w:line="240" w:lineRule="auto"/>
        <w:jc w:val="both"/>
      </w:pPr>
      <w:r>
        <w:t xml:space="preserve">Nom du passager </w:t>
      </w:r>
    </w:p>
    <w:p w14:paraId="6E53B16A" w14:textId="77777777" w:rsidR="00A23323" w:rsidRDefault="00A23323" w:rsidP="00A23323">
      <w:pPr>
        <w:pStyle w:val="Paragraphedeliste"/>
        <w:spacing w:after="0" w:line="240" w:lineRule="auto"/>
        <w:ind w:left="786"/>
        <w:jc w:val="both"/>
      </w:pPr>
    </w:p>
    <w:p w14:paraId="005E1E76" w14:textId="39B34D1D" w:rsidR="000909CD" w:rsidRDefault="000909CD" w:rsidP="008F6A08">
      <w:pPr>
        <w:spacing w:after="0" w:line="240" w:lineRule="auto"/>
        <w:jc w:val="both"/>
      </w:pPr>
      <w:r w:rsidRPr="00404220">
        <w:t>L</w:t>
      </w:r>
      <w:r>
        <w:t>’absence de l’une ou l’autre de</w:t>
      </w:r>
      <w:r w:rsidRPr="00404220">
        <w:t>s</w:t>
      </w:r>
      <w:r>
        <w:t xml:space="preserve"> </w:t>
      </w:r>
      <w:r w:rsidRPr="00404220">
        <w:t>informations</w:t>
      </w:r>
      <w:r>
        <w:t xml:space="preserve"> demandées</w:t>
      </w:r>
      <w:r w:rsidRPr="00404220">
        <w:t xml:space="preserve"> ralentira considérablement le traitement de la facture</w:t>
      </w:r>
      <w:r>
        <w:t xml:space="preserve">. </w:t>
      </w:r>
      <w:r w:rsidRPr="007006E0">
        <w:t>Toutes les retenues établies</w:t>
      </w:r>
      <w:r>
        <w:t xml:space="preserve"> par la législation fiscale du </w:t>
      </w:r>
      <w:r w:rsidR="00FC2E28">
        <w:t>Niger</w:t>
      </w:r>
      <w:r w:rsidRPr="007006E0">
        <w:t xml:space="preserve"> seront appliquées. Le </w:t>
      </w:r>
      <w:r>
        <w:t xml:space="preserve">contractant </w:t>
      </w:r>
      <w:r w:rsidRPr="007006E0">
        <w:t xml:space="preserve">est réputé connaître les taxes et retenus exigées par le législateur </w:t>
      </w:r>
      <w:r w:rsidR="00FC2E28">
        <w:t>nigérien</w:t>
      </w:r>
      <w:r w:rsidRPr="007006E0">
        <w:t xml:space="preserve"> en la matière.</w:t>
      </w:r>
    </w:p>
    <w:p w14:paraId="0B3027D6" w14:textId="77777777" w:rsidR="00BC501E" w:rsidRDefault="00BC501E" w:rsidP="008F6A08">
      <w:pPr>
        <w:spacing w:after="0" w:line="240" w:lineRule="auto"/>
        <w:jc w:val="both"/>
      </w:pPr>
    </w:p>
    <w:p w14:paraId="79ABBA79" w14:textId="10861DBC" w:rsidR="002E0C32" w:rsidRPr="00BC501E" w:rsidRDefault="000909CD" w:rsidP="008F6A08">
      <w:pPr>
        <w:spacing w:after="0" w:line="240" w:lineRule="auto"/>
        <w:jc w:val="both"/>
      </w:pPr>
      <w:r w:rsidRPr="00BC501E">
        <w:rPr>
          <w:b/>
        </w:rPr>
        <w:t>Note</w:t>
      </w:r>
      <w:r w:rsidR="00140F52" w:rsidRPr="00BC501E">
        <w:rPr>
          <w:b/>
        </w:rPr>
        <w:t> !!!</w:t>
      </w:r>
      <w:r w:rsidRPr="00BC501E">
        <w:t xml:space="preserve"> </w:t>
      </w:r>
      <w:r w:rsidR="002E0C32" w:rsidRPr="00BC501E">
        <w:t xml:space="preserve">Les frais en plus ou en moins causés par des billets non utilisés ou déclassés, et les frais d’annulation ou de modification perçus par les compagnies aériennes </w:t>
      </w:r>
      <w:r w:rsidR="002E0C32" w:rsidRPr="00BC501E">
        <w:rPr>
          <w:u w:val="single"/>
        </w:rPr>
        <w:t>du fait de l’agence</w:t>
      </w:r>
      <w:r w:rsidR="002E0C32" w:rsidRPr="00BC501E">
        <w:t xml:space="preserve">, sont </w:t>
      </w:r>
      <w:r w:rsidRPr="00BC501E">
        <w:t>reversés</w:t>
      </w:r>
      <w:r w:rsidR="002E0C32" w:rsidRPr="00BC501E">
        <w:t xml:space="preserve"> à la GIZ dans un délai </w:t>
      </w:r>
      <w:r w:rsidRPr="00BC501E">
        <w:t xml:space="preserve">raisonnable ne pouvant </w:t>
      </w:r>
      <w:r w:rsidR="00BC501E" w:rsidRPr="00BC501E">
        <w:t xml:space="preserve">excéder </w:t>
      </w:r>
      <w:r w:rsidRPr="00BC501E">
        <w:t xml:space="preserve">trois mois. </w:t>
      </w:r>
      <w:r w:rsidR="002E0C32" w:rsidRPr="00BC501E">
        <w:t>L’agence doit effectuer les remboursements, exclusivement aux comptes GIZ fourni par écrit par le Directe</w:t>
      </w:r>
      <w:r w:rsidR="00D02C4C">
        <w:t>ur Administrative Financier.</w:t>
      </w:r>
      <w:r w:rsidR="002E0C32" w:rsidRPr="00BC501E">
        <w:t xml:space="preserve"> </w:t>
      </w:r>
    </w:p>
    <w:p w14:paraId="3D604433" w14:textId="77777777" w:rsidR="002E0C32" w:rsidRDefault="002E0C32" w:rsidP="008F6A08">
      <w:pPr>
        <w:spacing w:after="0" w:line="240" w:lineRule="auto"/>
        <w:jc w:val="both"/>
      </w:pPr>
    </w:p>
    <w:p w14:paraId="1BDFC61A" w14:textId="77777777" w:rsidR="00BE218E" w:rsidRPr="007006E0" w:rsidRDefault="00BE218E" w:rsidP="00686297">
      <w:pPr>
        <w:pStyle w:val="Sansinterligne"/>
      </w:pPr>
      <w:bookmarkStart w:id="49" w:name="_Toc33546624"/>
      <w:bookmarkStart w:id="50" w:name="_Toc34049122"/>
      <w:r w:rsidRPr="007006E0">
        <w:t>Annexes</w:t>
      </w:r>
      <w:bookmarkEnd w:id="49"/>
      <w:bookmarkEnd w:id="50"/>
    </w:p>
    <w:p w14:paraId="6C4549A4" w14:textId="2360E42E" w:rsidR="009C70A6" w:rsidRDefault="009C70A6" w:rsidP="008F6A08">
      <w:pPr>
        <w:spacing w:after="0" w:line="240" w:lineRule="auto"/>
        <w:jc w:val="both"/>
      </w:pPr>
      <w:r>
        <w:t xml:space="preserve">Annexe </w:t>
      </w:r>
      <w:r w:rsidRPr="007006E0">
        <w:t>N°</w:t>
      </w:r>
      <w:r w:rsidR="007F2493">
        <w:t>A</w:t>
      </w:r>
      <w:r w:rsidR="003D5063">
        <w:t>1</w:t>
      </w:r>
      <w:r>
        <w:t> : Questionnaire</w:t>
      </w:r>
    </w:p>
    <w:p w14:paraId="29FD01A7" w14:textId="46D86BB6" w:rsidR="005E51F9" w:rsidRDefault="005E51F9" w:rsidP="008F6A08">
      <w:pPr>
        <w:spacing w:after="0" w:line="240" w:lineRule="auto"/>
        <w:jc w:val="both"/>
      </w:pPr>
      <w:r>
        <w:t xml:space="preserve">Annexe </w:t>
      </w:r>
      <w:r w:rsidRPr="007006E0">
        <w:t>N°</w:t>
      </w:r>
      <w:r w:rsidR="007F2493">
        <w:t>A</w:t>
      </w:r>
      <w:r w:rsidR="003D5063">
        <w:t>2</w:t>
      </w:r>
      <w:r w:rsidR="00CF6E78">
        <w:t> : Canevas d’offre financière</w:t>
      </w:r>
    </w:p>
    <w:p w14:paraId="39A4D207" w14:textId="2891D6F4" w:rsidR="00BE218E" w:rsidRDefault="00BE218E" w:rsidP="008F6A08">
      <w:pPr>
        <w:spacing w:after="0" w:line="240" w:lineRule="auto"/>
        <w:jc w:val="both"/>
      </w:pPr>
      <w:r>
        <w:t xml:space="preserve">Annexe </w:t>
      </w:r>
      <w:r w:rsidRPr="007006E0">
        <w:t>N°</w:t>
      </w:r>
      <w:r w:rsidR="007F2493">
        <w:t>A</w:t>
      </w:r>
      <w:r w:rsidR="003D5063">
        <w:t>3</w:t>
      </w:r>
      <w:r>
        <w:t xml:space="preserve"> : </w:t>
      </w:r>
      <w:r w:rsidR="00081858">
        <w:t>Schéma</w:t>
      </w:r>
      <w:r w:rsidR="00CF6E78">
        <w:t xml:space="preserve"> d’évaluation </w:t>
      </w:r>
      <w:r w:rsidR="007362F9">
        <w:t>d’éligibilité/</w:t>
      </w:r>
      <w:r w:rsidR="00CF6E78">
        <w:t>technique</w:t>
      </w:r>
    </w:p>
    <w:p w14:paraId="031A1EB4" w14:textId="008A5127" w:rsidR="00BE218E" w:rsidRDefault="00BE218E" w:rsidP="008F6A08">
      <w:pPr>
        <w:spacing w:after="0" w:line="240" w:lineRule="auto"/>
        <w:jc w:val="both"/>
      </w:pPr>
      <w:r w:rsidRPr="007006E0">
        <w:t>Annexe N°</w:t>
      </w:r>
      <w:r w:rsidR="007F2493">
        <w:t>A</w:t>
      </w:r>
      <w:r w:rsidR="003D5063">
        <w:t>4</w:t>
      </w:r>
      <w:r w:rsidRPr="007006E0">
        <w:t> : Déclaration d’intégrité</w:t>
      </w:r>
    </w:p>
    <w:p w14:paraId="0FD88CBE" w14:textId="2C9F8FF5" w:rsidR="00D6009B" w:rsidRDefault="00D6009B" w:rsidP="008F6A08">
      <w:pPr>
        <w:spacing w:after="0" w:line="240" w:lineRule="auto"/>
        <w:jc w:val="both"/>
      </w:pPr>
      <w:r w:rsidRPr="00D6009B">
        <w:t>Annexe N°</w:t>
      </w:r>
      <w:r w:rsidR="007F2493">
        <w:t>A</w:t>
      </w:r>
      <w:r w:rsidR="003E3582">
        <w:t>5</w:t>
      </w:r>
      <w:r>
        <w:t xml:space="preserve"> : </w:t>
      </w:r>
      <w:r w:rsidRPr="00D6009B">
        <w:t>Engagement à la protection de donnée</w:t>
      </w:r>
      <w:r w:rsidR="005E16EE">
        <w:t>s</w:t>
      </w:r>
    </w:p>
    <w:p w14:paraId="04F52AED" w14:textId="5E2C69DB" w:rsidR="006B6CF5" w:rsidRDefault="00BE218E" w:rsidP="006B6CF5">
      <w:pPr>
        <w:spacing w:after="0" w:line="240" w:lineRule="auto"/>
        <w:jc w:val="both"/>
      </w:pPr>
      <w:r>
        <w:t>Annexe N°</w:t>
      </w:r>
      <w:r w:rsidR="007F2493">
        <w:t>A</w:t>
      </w:r>
      <w:r w:rsidR="003E3582">
        <w:t>6</w:t>
      </w:r>
      <w:r>
        <w:t xml:space="preserve"> : </w:t>
      </w:r>
      <w:bookmarkStart w:id="51" w:name="_Hlk34385492"/>
      <w:r w:rsidR="006B6CF5">
        <w:t>Modèle CV</w:t>
      </w:r>
    </w:p>
    <w:bookmarkEnd w:id="51"/>
    <w:p w14:paraId="7551459F" w14:textId="4C7C7B4C" w:rsidR="00D02C4C" w:rsidRDefault="00D02C4C" w:rsidP="008F6A08">
      <w:pPr>
        <w:spacing w:after="0" w:line="240" w:lineRule="auto"/>
        <w:jc w:val="both"/>
      </w:pPr>
    </w:p>
    <w:p w14:paraId="3D21BEEE" w14:textId="77777777" w:rsidR="00A41888" w:rsidRDefault="00A41888" w:rsidP="008F6A08">
      <w:pPr>
        <w:spacing w:after="0" w:line="240" w:lineRule="auto"/>
        <w:jc w:val="both"/>
      </w:pPr>
    </w:p>
    <w:sectPr w:rsidR="00A41888" w:rsidSect="007C460D">
      <w:headerReference w:type="default" r:id="rId11"/>
      <w:footerReference w:type="default" r:id="rId12"/>
      <w:pgSz w:w="12240" w:h="15840"/>
      <w:pgMar w:top="1190" w:right="1417" w:bottom="1276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CA1A" w14:textId="77777777" w:rsidR="00EE5EFA" w:rsidRDefault="00EE5EFA" w:rsidP="007C460D">
      <w:pPr>
        <w:spacing w:after="0" w:line="240" w:lineRule="auto"/>
      </w:pPr>
      <w:r>
        <w:separator/>
      </w:r>
    </w:p>
  </w:endnote>
  <w:endnote w:type="continuationSeparator" w:id="0">
    <w:p w14:paraId="6E974516" w14:textId="77777777" w:rsidR="00EE5EFA" w:rsidRDefault="00EE5EFA" w:rsidP="007C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2016651225"/>
      <w:docPartObj>
        <w:docPartGallery w:val="Page Numbers (Bottom of Page)"/>
        <w:docPartUnique/>
      </w:docPartObj>
    </w:sdtPr>
    <w:sdtEndPr/>
    <w:sdtContent>
      <w:p w14:paraId="5FFCBC0F" w14:textId="26777BEE" w:rsidR="00E11C16" w:rsidRPr="007C460D" w:rsidRDefault="00E11C16">
        <w:pPr>
          <w:pStyle w:val="Pieddepage"/>
          <w:jc w:val="right"/>
          <w:rPr>
            <w:rFonts w:eastAsiaTheme="majorEastAsia"/>
            <w:sz w:val="20"/>
            <w:szCs w:val="20"/>
          </w:rPr>
        </w:pPr>
        <w:r w:rsidRPr="007C460D">
          <w:rPr>
            <w:rFonts w:eastAsiaTheme="majorEastAsia"/>
            <w:sz w:val="20"/>
            <w:szCs w:val="20"/>
          </w:rPr>
          <w:t xml:space="preserve">Seite </w:t>
        </w:r>
        <w:r w:rsidRPr="007C460D">
          <w:rPr>
            <w:rFonts w:eastAsiaTheme="minorEastAsia"/>
            <w:sz w:val="20"/>
            <w:szCs w:val="20"/>
          </w:rPr>
          <w:fldChar w:fldCharType="begin"/>
        </w:r>
        <w:r w:rsidRPr="007C460D">
          <w:rPr>
            <w:sz w:val="20"/>
            <w:szCs w:val="20"/>
          </w:rPr>
          <w:instrText>PAGE    \* MERGEFORMAT</w:instrText>
        </w:r>
        <w:r w:rsidRPr="007C460D">
          <w:rPr>
            <w:rFonts w:eastAsiaTheme="minorEastAsia"/>
            <w:sz w:val="20"/>
            <w:szCs w:val="20"/>
          </w:rPr>
          <w:fldChar w:fldCharType="separate"/>
        </w:r>
        <w:r w:rsidR="00DC0CEA" w:rsidRPr="00DC0CEA">
          <w:rPr>
            <w:rFonts w:eastAsiaTheme="majorEastAsia"/>
            <w:noProof/>
            <w:sz w:val="20"/>
            <w:szCs w:val="20"/>
          </w:rPr>
          <w:t>1</w:t>
        </w:r>
        <w:r w:rsidRPr="007C460D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DC76EE0" w14:textId="77777777" w:rsidR="00E11C16" w:rsidRDefault="00E11C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985B" w14:textId="77777777" w:rsidR="00EE5EFA" w:rsidRDefault="00EE5EFA" w:rsidP="007C460D">
      <w:pPr>
        <w:spacing w:after="0" w:line="240" w:lineRule="auto"/>
      </w:pPr>
      <w:r>
        <w:separator/>
      </w:r>
    </w:p>
  </w:footnote>
  <w:footnote w:type="continuationSeparator" w:id="0">
    <w:p w14:paraId="7AD44AD3" w14:textId="77777777" w:rsidR="00EE5EFA" w:rsidRDefault="00EE5EFA" w:rsidP="007C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F32A" w14:textId="6195AF18" w:rsidR="00C86EB8" w:rsidRDefault="00C86EB8"/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23"/>
      <w:gridCol w:w="3083"/>
    </w:tblGrid>
    <w:tr w:rsidR="00E11C16" w:rsidRPr="00703906" w14:paraId="55290927" w14:textId="77777777" w:rsidTr="00595CF2">
      <w:tc>
        <w:tcPr>
          <w:tcW w:w="3361" w:type="pct"/>
          <w:vAlign w:val="bottom"/>
        </w:tcPr>
        <w:p w14:paraId="079720CB" w14:textId="5F9E2EAB" w:rsidR="00E11C16" w:rsidRPr="00982B7F" w:rsidRDefault="00E11C16" w:rsidP="00C86EB8">
          <w:pPr>
            <w:pStyle w:val="Titre1"/>
            <w:spacing w:before="0" w:line="240" w:lineRule="auto"/>
            <w:rPr>
              <w:sz w:val="36"/>
              <w:szCs w:val="44"/>
            </w:rPr>
          </w:pPr>
          <w:r w:rsidRPr="00982B7F">
            <w:rPr>
              <w:sz w:val="36"/>
              <w:szCs w:val="44"/>
            </w:rPr>
            <w:t>Termes de référence</w:t>
          </w:r>
        </w:p>
        <w:p w14:paraId="4BD1B495" w14:textId="77777777" w:rsidR="00E11C16" w:rsidRPr="001A3E1E" w:rsidRDefault="00E11C16" w:rsidP="00C86EB8">
          <w:pPr>
            <w:spacing w:after="0" w:line="240" w:lineRule="auto"/>
            <w:rPr>
              <w:lang w:eastAsia="de-DE"/>
            </w:rPr>
          </w:pPr>
          <w:r>
            <w:rPr>
              <w:lang w:eastAsia="de-DE"/>
            </w:rPr>
            <w:t>(En attachement au contrat)</w:t>
          </w:r>
        </w:p>
      </w:tc>
      <w:tc>
        <w:tcPr>
          <w:tcW w:w="1639" w:type="pct"/>
        </w:tcPr>
        <w:p w14:paraId="470991BE" w14:textId="466B2939" w:rsidR="00E11C16" w:rsidRPr="00703906" w:rsidRDefault="00C86EB8" w:rsidP="00595CF2">
          <w:pPr>
            <w:rPr>
              <w:lang w:eastAsia="de-DE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0" allowOverlap="1" wp14:anchorId="5900E3EF" wp14:editId="7958F06C">
                <wp:simplePos x="0" y="0"/>
                <wp:positionH relativeFrom="page">
                  <wp:posOffset>924267</wp:posOffset>
                </wp:positionH>
                <wp:positionV relativeFrom="margin">
                  <wp:posOffset>-74833</wp:posOffset>
                </wp:positionV>
                <wp:extent cx="1695450" cy="4445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5" t="22655" r="13051" b="27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A69E8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0" allowOverlap="1" wp14:anchorId="5900E3EF" wp14:editId="6DFB672D">
                <wp:simplePos x="0" y="0"/>
                <wp:positionH relativeFrom="page">
                  <wp:posOffset>4963160</wp:posOffset>
                </wp:positionH>
                <wp:positionV relativeFrom="margin">
                  <wp:posOffset>119380</wp:posOffset>
                </wp:positionV>
                <wp:extent cx="1695450" cy="4445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5" t="22655" r="13051" b="27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5102EC" w14:textId="31231411" w:rsidR="00E11C16" w:rsidRDefault="00E11C16" w:rsidP="00595C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8CF"/>
    <w:multiLevelType w:val="hybridMultilevel"/>
    <w:tmpl w:val="D22A3BC4"/>
    <w:lvl w:ilvl="0" w:tplc="8DB61E38">
      <w:numFmt w:val="bullet"/>
      <w:lvlText w:val="-"/>
      <w:lvlJc w:val="left"/>
      <w:pPr>
        <w:ind w:left="786" w:hanging="360"/>
      </w:pPr>
      <w:rPr>
        <w:rFonts w:ascii="Arial" w:eastAsia="DengXi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2300CF"/>
    <w:multiLevelType w:val="hybridMultilevel"/>
    <w:tmpl w:val="696AA152"/>
    <w:lvl w:ilvl="0" w:tplc="8DB61E38">
      <w:numFmt w:val="bullet"/>
      <w:lvlText w:val="-"/>
      <w:lvlJc w:val="left"/>
      <w:pPr>
        <w:ind w:left="360" w:hanging="360"/>
      </w:pPr>
      <w:rPr>
        <w:rFonts w:ascii="Arial" w:eastAsia="DengXi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850B1"/>
    <w:multiLevelType w:val="hybridMultilevel"/>
    <w:tmpl w:val="C914BF56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207C8"/>
    <w:multiLevelType w:val="hybridMultilevel"/>
    <w:tmpl w:val="8C52CC64"/>
    <w:lvl w:ilvl="0" w:tplc="956A869C">
      <w:start w:val="7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7CB4"/>
    <w:multiLevelType w:val="hybridMultilevel"/>
    <w:tmpl w:val="C6BCC678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2E53"/>
    <w:multiLevelType w:val="hybridMultilevel"/>
    <w:tmpl w:val="CBBEF020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DBB"/>
    <w:multiLevelType w:val="hybridMultilevel"/>
    <w:tmpl w:val="073C0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1BA"/>
    <w:multiLevelType w:val="hybridMultilevel"/>
    <w:tmpl w:val="BA14048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EC2A50"/>
    <w:multiLevelType w:val="hybridMultilevel"/>
    <w:tmpl w:val="D302A956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433E82"/>
    <w:multiLevelType w:val="hybridMultilevel"/>
    <w:tmpl w:val="9EE8DB34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6E6017"/>
    <w:multiLevelType w:val="hybridMultilevel"/>
    <w:tmpl w:val="33408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E719A"/>
    <w:multiLevelType w:val="hybridMultilevel"/>
    <w:tmpl w:val="3AF64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C6586"/>
    <w:multiLevelType w:val="hybridMultilevel"/>
    <w:tmpl w:val="180C0AA0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BD359F"/>
    <w:multiLevelType w:val="hybridMultilevel"/>
    <w:tmpl w:val="A658001C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A031F7"/>
    <w:multiLevelType w:val="hybridMultilevel"/>
    <w:tmpl w:val="F692CAB2"/>
    <w:lvl w:ilvl="0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217B8"/>
    <w:multiLevelType w:val="hybridMultilevel"/>
    <w:tmpl w:val="5A1EC398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9312F"/>
    <w:multiLevelType w:val="hybridMultilevel"/>
    <w:tmpl w:val="0B866534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E421B"/>
    <w:multiLevelType w:val="multilevel"/>
    <w:tmpl w:val="9FF05DC4"/>
    <w:lvl w:ilvl="0">
      <w:start w:val="1"/>
      <w:numFmt w:val="decimal"/>
      <w:pStyle w:val="Sansinterligne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Titre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itre4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D42290"/>
    <w:multiLevelType w:val="hybridMultilevel"/>
    <w:tmpl w:val="44529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8B29CB"/>
    <w:multiLevelType w:val="hybridMultilevel"/>
    <w:tmpl w:val="C69AB258"/>
    <w:lvl w:ilvl="0" w:tplc="5B2889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91CFB"/>
    <w:multiLevelType w:val="hybridMultilevel"/>
    <w:tmpl w:val="15722254"/>
    <w:lvl w:ilvl="0" w:tplc="8DB61E38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D70FA"/>
    <w:multiLevelType w:val="hybridMultilevel"/>
    <w:tmpl w:val="D7D0F2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E29AC"/>
    <w:multiLevelType w:val="hybridMultilevel"/>
    <w:tmpl w:val="C940234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676A6"/>
    <w:multiLevelType w:val="hybridMultilevel"/>
    <w:tmpl w:val="15DE3BF2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E13C9"/>
    <w:multiLevelType w:val="hybridMultilevel"/>
    <w:tmpl w:val="8F9855DA"/>
    <w:lvl w:ilvl="0" w:tplc="0C0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46F3F0C"/>
    <w:multiLevelType w:val="hybridMultilevel"/>
    <w:tmpl w:val="C4F2098A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6E7963"/>
    <w:multiLevelType w:val="hybridMultilevel"/>
    <w:tmpl w:val="9ED60B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B6AFF"/>
    <w:multiLevelType w:val="hybridMultilevel"/>
    <w:tmpl w:val="6A5A7D7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7C01C0"/>
    <w:multiLevelType w:val="hybridMultilevel"/>
    <w:tmpl w:val="CF801B6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9456FE">
      <w:numFmt w:val="bullet"/>
      <w:lvlText w:val="•"/>
      <w:lvlJc w:val="left"/>
      <w:pPr>
        <w:ind w:left="1129" w:hanging="420"/>
      </w:pPr>
      <w:rPr>
        <w:rFonts w:ascii="Arial" w:eastAsia="DengXian" w:hAnsi="Arial" w:cs="Arial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80AC1"/>
    <w:multiLevelType w:val="hybridMultilevel"/>
    <w:tmpl w:val="7BCA808C"/>
    <w:lvl w:ilvl="0" w:tplc="8DB61E38">
      <w:numFmt w:val="bullet"/>
      <w:lvlText w:val="-"/>
      <w:lvlJc w:val="left"/>
      <w:pPr>
        <w:ind w:left="1211" w:hanging="360"/>
      </w:pPr>
      <w:rPr>
        <w:rFonts w:ascii="Arial" w:eastAsia="DengXi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E431647"/>
    <w:multiLevelType w:val="hybridMultilevel"/>
    <w:tmpl w:val="D20E0654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E6E1924"/>
    <w:multiLevelType w:val="hybridMultilevel"/>
    <w:tmpl w:val="7DA0C890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11FD6"/>
    <w:multiLevelType w:val="hybridMultilevel"/>
    <w:tmpl w:val="1012D96C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21"/>
  </w:num>
  <w:num w:numId="8">
    <w:abstractNumId w:val="30"/>
  </w:num>
  <w:num w:numId="9">
    <w:abstractNumId w:val="18"/>
  </w:num>
  <w:num w:numId="10">
    <w:abstractNumId w:val="10"/>
  </w:num>
  <w:num w:numId="11">
    <w:abstractNumId w:val="16"/>
  </w:num>
  <w:num w:numId="12">
    <w:abstractNumId w:val="29"/>
  </w:num>
  <w:num w:numId="13">
    <w:abstractNumId w:val="3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2"/>
  </w:num>
  <w:num w:numId="19">
    <w:abstractNumId w:val="20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"/>
  </w:num>
  <w:num w:numId="25">
    <w:abstractNumId w:val="27"/>
  </w:num>
  <w:num w:numId="26">
    <w:abstractNumId w:val="0"/>
  </w:num>
  <w:num w:numId="27">
    <w:abstractNumId w:val="7"/>
  </w:num>
  <w:num w:numId="28">
    <w:abstractNumId w:val="25"/>
  </w:num>
  <w:num w:numId="29">
    <w:abstractNumId w:val="8"/>
  </w:num>
  <w:num w:numId="30">
    <w:abstractNumId w:val="9"/>
  </w:num>
  <w:num w:numId="31">
    <w:abstractNumId w:val="24"/>
  </w:num>
  <w:num w:numId="32">
    <w:abstractNumId w:val="13"/>
  </w:num>
  <w:num w:numId="33">
    <w:abstractNumId w:val="5"/>
  </w:num>
  <w:num w:numId="34">
    <w:abstractNumId w:val="22"/>
  </w:num>
  <w:num w:numId="35">
    <w:abstractNumId w:val="17"/>
  </w:num>
  <w:num w:numId="36">
    <w:abstractNumId w:val="26"/>
  </w:num>
  <w:num w:numId="37">
    <w:abstractNumId w:val="11"/>
  </w:num>
  <w:num w:numId="3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E"/>
    <w:rsid w:val="00001D7E"/>
    <w:rsid w:val="000036D6"/>
    <w:rsid w:val="0001037A"/>
    <w:rsid w:val="00011EAE"/>
    <w:rsid w:val="00035A2D"/>
    <w:rsid w:val="00044ABA"/>
    <w:rsid w:val="00047736"/>
    <w:rsid w:val="00055465"/>
    <w:rsid w:val="00057F32"/>
    <w:rsid w:val="00073F1B"/>
    <w:rsid w:val="00081080"/>
    <w:rsid w:val="00081858"/>
    <w:rsid w:val="000909CD"/>
    <w:rsid w:val="000A3DDE"/>
    <w:rsid w:val="000C08D3"/>
    <w:rsid w:val="000C28FB"/>
    <w:rsid w:val="000D20A9"/>
    <w:rsid w:val="000D42B4"/>
    <w:rsid w:val="000E6686"/>
    <w:rsid w:val="000F0479"/>
    <w:rsid w:val="000F1BB5"/>
    <w:rsid w:val="000F4432"/>
    <w:rsid w:val="000F7911"/>
    <w:rsid w:val="00100366"/>
    <w:rsid w:val="001044D4"/>
    <w:rsid w:val="001061C0"/>
    <w:rsid w:val="00112309"/>
    <w:rsid w:val="00112F37"/>
    <w:rsid w:val="00127243"/>
    <w:rsid w:val="00140F52"/>
    <w:rsid w:val="0014251C"/>
    <w:rsid w:val="00144769"/>
    <w:rsid w:val="00144EBE"/>
    <w:rsid w:val="00144FE0"/>
    <w:rsid w:val="0014592F"/>
    <w:rsid w:val="00150F17"/>
    <w:rsid w:val="00151022"/>
    <w:rsid w:val="00153B44"/>
    <w:rsid w:val="00153D1A"/>
    <w:rsid w:val="00154FFA"/>
    <w:rsid w:val="00156774"/>
    <w:rsid w:val="00173699"/>
    <w:rsid w:val="00180C9C"/>
    <w:rsid w:val="001911A6"/>
    <w:rsid w:val="001936C6"/>
    <w:rsid w:val="001A1B6C"/>
    <w:rsid w:val="001A5117"/>
    <w:rsid w:val="001A5BB1"/>
    <w:rsid w:val="001B1B8A"/>
    <w:rsid w:val="001C0419"/>
    <w:rsid w:val="001C3998"/>
    <w:rsid w:val="001C4A0C"/>
    <w:rsid w:val="001D2D15"/>
    <w:rsid w:val="001E0EA4"/>
    <w:rsid w:val="001E5DEC"/>
    <w:rsid w:val="001F01FF"/>
    <w:rsid w:val="001F78EA"/>
    <w:rsid w:val="00204C26"/>
    <w:rsid w:val="00206D30"/>
    <w:rsid w:val="002116C9"/>
    <w:rsid w:val="00217D42"/>
    <w:rsid w:val="00230786"/>
    <w:rsid w:val="00236147"/>
    <w:rsid w:val="00245B12"/>
    <w:rsid w:val="00247C39"/>
    <w:rsid w:val="00247C4E"/>
    <w:rsid w:val="00253E6B"/>
    <w:rsid w:val="00253ED9"/>
    <w:rsid w:val="00265E61"/>
    <w:rsid w:val="002663DF"/>
    <w:rsid w:val="002673ED"/>
    <w:rsid w:val="00267A09"/>
    <w:rsid w:val="002751B2"/>
    <w:rsid w:val="002801B2"/>
    <w:rsid w:val="0028456F"/>
    <w:rsid w:val="00295A78"/>
    <w:rsid w:val="0029616B"/>
    <w:rsid w:val="002A312E"/>
    <w:rsid w:val="002B1079"/>
    <w:rsid w:val="002D63B2"/>
    <w:rsid w:val="002E0C32"/>
    <w:rsid w:val="002F708E"/>
    <w:rsid w:val="00304A9B"/>
    <w:rsid w:val="00305123"/>
    <w:rsid w:val="00314859"/>
    <w:rsid w:val="0031565F"/>
    <w:rsid w:val="00325508"/>
    <w:rsid w:val="0033457E"/>
    <w:rsid w:val="00337A0B"/>
    <w:rsid w:val="00362053"/>
    <w:rsid w:val="0037398E"/>
    <w:rsid w:val="00375B2C"/>
    <w:rsid w:val="00383CE3"/>
    <w:rsid w:val="003B2283"/>
    <w:rsid w:val="003B4497"/>
    <w:rsid w:val="003C3FA4"/>
    <w:rsid w:val="003C6693"/>
    <w:rsid w:val="003C67D6"/>
    <w:rsid w:val="003C795F"/>
    <w:rsid w:val="003D5063"/>
    <w:rsid w:val="003E3582"/>
    <w:rsid w:val="003E3B86"/>
    <w:rsid w:val="003E487F"/>
    <w:rsid w:val="003E4C04"/>
    <w:rsid w:val="003E6468"/>
    <w:rsid w:val="00402C43"/>
    <w:rsid w:val="00407A2E"/>
    <w:rsid w:val="004270C2"/>
    <w:rsid w:val="004270FC"/>
    <w:rsid w:val="0044796B"/>
    <w:rsid w:val="004601BD"/>
    <w:rsid w:val="00460571"/>
    <w:rsid w:val="00462669"/>
    <w:rsid w:val="004641D3"/>
    <w:rsid w:val="00481F68"/>
    <w:rsid w:val="00482AB3"/>
    <w:rsid w:val="00495EC6"/>
    <w:rsid w:val="004B0D96"/>
    <w:rsid w:val="004B5FE6"/>
    <w:rsid w:val="004D4959"/>
    <w:rsid w:val="004D7354"/>
    <w:rsid w:val="004E31B5"/>
    <w:rsid w:val="004E574B"/>
    <w:rsid w:val="004F4805"/>
    <w:rsid w:val="004F5912"/>
    <w:rsid w:val="00505DBC"/>
    <w:rsid w:val="005065A6"/>
    <w:rsid w:val="00516033"/>
    <w:rsid w:val="00544E56"/>
    <w:rsid w:val="00545381"/>
    <w:rsid w:val="00547617"/>
    <w:rsid w:val="00553C3F"/>
    <w:rsid w:val="00557645"/>
    <w:rsid w:val="005604AE"/>
    <w:rsid w:val="00573F40"/>
    <w:rsid w:val="0057767C"/>
    <w:rsid w:val="0058420E"/>
    <w:rsid w:val="00592402"/>
    <w:rsid w:val="00595CF2"/>
    <w:rsid w:val="005B359F"/>
    <w:rsid w:val="005B4AA0"/>
    <w:rsid w:val="005C10E3"/>
    <w:rsid w:val="005C225C"/>
    <w:rsid w:val="005E000B"/>
    <w:rsid w:val="005E12D0"/>
    <w:rsid w:val="005E16EE"/>
    <w:rsid w:val="005E3B36"/>
    <w:rsid w:val="005E51F9"/>
    <w:rsid w:val="005F0001"/>
    <w:rsid w:val="005F03FB"/>
    <w:rsid w:val="005F4E37"/>
    <w:rsid w:val="005F69B4"/>
    <w:rsid w:val="0060165C"/>
    <w:rsid w:val="00615F08"/>
    <w:rsid w:val="0062631A"/>
    <w:rsid w:val="00641C21"/>
    <w:rsid w:val="00642412"/>
    <w:rsid w:val="00646CCE"/>
    <w:rsid w:val="0064760E"/>
    <w:rsid w:val="006541A3"/>
    <w:rsid w:val="00655829"/>
    <w:rsid w:val="00655B15"/>
    <w:rsid w:val="00670BC7"/>
    <w:rsid w:val="00686297"/>
    <w:rsid w:val="00686508"/>
    <w:rsid w:val="00692ECC"/>
    <w:rsid w:val="0069406B"/>
    <w:rsid w:val="00697442"/>
    <w:rsid w:val="006A131E"/>
    <w:rsid w:val="006A516B"/>
    <w:rsid w:val="006A6C21"/>
    <w:rsid w:val="006A7A7C"/>
    <w:rsid w:val="006A7BB8"/>
    <w:rsid w:val="006B6CF5"/>
    <w:rsid w:val="006E0DA6"/>
    <w:rsid w:val="006E3B96"/>
    <w:rsid w:val="006E781D"/>
    <w:rsid w:val="00700B2A"/>
    <w:rsid w:val="00701314"/>
    <w:rsid w:val="00704B56"/>
    <w:rsid w:val="00706347"/>
    <w:rsid w:val="00720C9F"/>
    <w:rsid w:val="00722BEB"/>
    <w:rsid w:val="0072464E"/>
    <w:rsid w:val="007328ED"/>
    <w:rsid w:val="00732A51"/>
    <w:rsid w:val="007362F9"/>
    <w:rsid w:val="00743D22"/>
    <w:rsid w:val="00763B33"/>
    <w:rsid w:val="00782A55"/>
    <w:rsid w:val="0078485A"/>
    <w:rsid w:val="00794640"/>
    <w:rsid w:val="007A7065"/>
    <w:rsid w:val="007B139A"/>
    <w:rsid w:val="007B5C97"/>
    <w:rsid w:val="007C05F1"/>
    <w:rsid w:val="007C0A4E"/>
    <w:rsid w:val="007C0B76"/>
    <w:rsid w:val="007C3594"/>
    <w:rsid w:val="007C4280"/>
    <w:rsid w:val="007C460D"/>
    <w:rsid w:val="007C4650"/>
    <w:rsid w:val="007D2062"/>
    <w:rsid w:val="007E08FE"/>
    <w:rsid w:val="007E3347"/>
    <w:rsid w:val="007F0293"/>
    <w:rsid w:val="007F2493"/>
    <w:rsid w:val="007F40EB"/>
    <w:rsid w:val="008165AC"/>
    <w:rsid w:val="008240ED"/>
    <w:rsid w:val="00842CEF"/>
    <w:rsid w:val="00842D85"/>
    <w:rsid w:val="008565F2"/>
    <w:rsid w:val="00870B31"/>
    <w:rsid w:val="00871EB8"/>
    <w:rsid w:val="0087205F"/>
    <w:rsid w:val="00895FF9"/>
    <w:rsid w:val="008979C9"/>
    <w:rsid w:val="008B1CC8"/>
    <w:rsid w:val="008B7439"/>
    <w:rsid w:val="008C1991"/>
    <w:rsid w:val="008C2E52"/>
    <w:rsid w:val="008D3739"/>
    <w:rsid w:val="008F6A08"/>
    <w:rsid w:val="00900C2E"/>
    <w:rsid w:val="00901408"/>
    <w:rsid w:val="0090442B"/>
    <w:rsid w:val="00907EC8"/>
    <w:rsid w:val="00921256"/>
    <w:rsid w:val="00921F37"/>
    <w:rsid w:val="009260AE"/>
    <w:rsid w:val="00931154"/>
    <w:rsid w:val="00933169"/>
    <w:rsid w:val="00933710"/>
    <w:rsid w:val="0093756B"/>
    <w:rsid w:val="00956297"/>
    <w:rsid w:val="00964663"/>
    <w:rsid w:val="00964FB0"/>
    <w:rsid w:val="00982B7F"/>
    <w:rsid w:val="00984FB3"/>
    <w:rsid w:val="009A0DD0"/>
    <w:rsid w:val="009A72B2"/>
    <w:rsid w:val="009C70A6"/>
    <w:rsid w:val="009C7DB3"/>
    <w:rsid w:val="009E7911"/>
    <w:rsid w:val="009E7992"/>
    <w:rsid w:val="009F4757"/>
    <w:rsid w:val="00A05671"/>
    <w:rsid w:val="00A113F8"/>
    <w:rsid w:val="00A22FA5"/>
    <w:rsid w:val="00A23323"/>
    <w:rsid w:val="00A24791"/>
    <w:rsid w:val="00A33930"/>
    <w:rsid w:val="00A34CA7"/>
    <w:rsid w:val="00A41888"/>
    <w:rsid w:val="00A44454"/>
    <w:rsid w:val="00A45420"/>
    <w:rsid w:val="00A46C45"/>
    <w:rsid w:val="00A5069B"/>
    <w:rsid w:val="00A5518A"/>
    <w:rsid w:val="00A60BE6"/>
    <w:rsid w:val="00A767D7"/>
    <w:rsid w:val="00A85F05"/>
    <w:rsid w:val="00A86C01"/>
    <w:rsid w:val="00A92AD2"/>
    <w:rsid w:val="00AA1A02"/>
    <w:rsid w:val="00AC0A04"/>
    <w:rsid w:val="00AC2D08"/>
    <w:rsid w:val="00AE318F"/>
    <w:rsid w:val="00AE3E37"/>
    <w:rsid w:val="00AE3F09"/>
    <w:rsid w:val="00AE4D4C"/>
    <w:rsid w:val="00AF2692"/>
    <w:rsid w:val="00AF37A6"/>
    <w:rsid w:val="00AF7FF3"/>
    <w:rsid w:val="00B07610"/>
    <w:rsid w:val="00B17683"/>
    <w:rsid w:val="00B30E56"/>
    <w:rsid w:val="00B35B28"/>
    <w:rsid w:val="00B4217B"/>
    <w:rsid w:val="00B431F3"/>
    <w:rsid w:val="00B44579"/>
    <w:rsid w:val="00B6120B"/>
    <w:rsid w:val="00B63F4E"/>
    <w:rsid w:val="00B65013"/>
    <w:rsid w:val="00B72077"/>
    <w:rsid w:val="00B773DF"/>
    <w:rsid w:val="00B77459"/>
    <w:rsid w:val="00B81B4D"/>
    <w:rsid w:val="00B84284"/>
    <w:rsid w:val="00B90067"/>
    <w:rsid w:val="00B91A91"/>
    <w:rsid w:val="00B9645E"/>
    <w:rsid w:val="00BA5497"/>
    <w:rsid w:val="00BB038B"/>
    <w:rsid w:val="00BC0320"/>
    <w:rsid w:val="00BC07EC"/>
    <w:rsid w:val="00BC2557"/>
    <w:rsid w:val="00BC501E"/>
    <w:rsid w:val="00BE218E"/>
    <w:rsid w:val="00BE4566"/>
    <w:rsid w:val="00BE5CD1"/>
    <w:rsid w:val="00BF0BC7"/>
    <w:rsid w:val="00BF35DE"/>
    <w:rsid w:val="00C1302A"/>
    <w:rsid w:val="00C13393"/>
    <w:rsid w:val="00C26BF0"/>
    <w:rsid w:val="00C27638"/>
    <w:rsid w:val="00C31575"/>
    <w:rsid w:val="00C40839"/>
    <w:rsid w:val="00C43B6C"/>
    <w:rsid w:val="00C53827"/>
    <w:rsid w:val="00C63284"/>
    <w:rsid w:val="00C76B33"/>
    <w:rsid w:val="00C77E1E"/>
    <w:rsid w:val="00C82E51"/>
    <w:rsid w:val="00C868F5"/>
    <w:rsid w:val="00C86EB8"/>
    <w:rsid w:val="00CB0684"/>
    <w:rsid w:val="00CC4733"/>
    <w:rsid w:val="00CC700A"/>
    <w:rsid w:val="00CD5ADA"/>
    <w:rsid w:val="00CE6DFC"/>
    <w:rsid w:val="00CF5429"/>
    <w:rsid w:val="00CF6E78"/>
    <w:rsid w:val="00D00B00"/>
    <w:rsid w:val="00D02C4C"/>
    <w:rsid w:val="00D2090B"/>
    <w:rsid w:val="00D21C91"/>
    <w:rsid w:val="00D22B41"/>
    <w:rsid w:val="00D24499"/>
    <w:rsid w:val="00D26FD9"/>
    <w:rsid w:val="00D27107"/>
    <w:rsid w:val="00D342C1"/>
    <w:rsid w:val="00D503C4"/>
    <w:rsid w:val="00D52D42"/>
    <w:rsid w:val="00D52F47"/>
    <w:rsid w:val="00D556F0"/>
    <w:rsid w:val="00D57018"/>
    <w:rsid w:val="00D6009B"/>
    <w:rsid w:val="00D61BE6"/>
    <w:rsid w:val="00D62FB9"/>
    <w:rsid w:val="00D63522"/>
    <w:rsid w:val="00D66AD0"/>
    <w:rsid w:val="00D67016"/>
    <w:rsid w:val="00D85024"/>
    <w:rsid w:val="00D97B1F"/>
    <w:rsid w:val="00DA10FF"/>
    <w:rsid w:val="00DA2AAB"/>
    <w:rsid w:val="00DB4185"/>
    <w:rsid w:val="00DB4A19"/>
    <w:rsid w:val="00DB6126"/>
    <w:rsid w:val="00DB6AA5"/>
    <w:rsid w:val="00DC0CEA"/>
    <w:rsid w:val="00DC70F4"/>
    <w:rsid w:val="00DD5BD8"/>
    <w:rsid w:val="00DE5181"/>
    <w:rsid w:val="00DF5097"/>
    <w:rsid w:val="00E0333B"/>
    <w:rsid w:val="00E11C16"/>
    <w:rsid w:val="00E13603"/>
    <w:rsid w:val="00E26AC0"/>
    <w:rsid w:val="00E3136F"/>
    <w:rsid w:val="00E339FB"/>
    <w:rsid w:val="00E36CAE"/>
    <w:rsid w:val="00E45DC7"/>
    <w:rsid w:val="00E6077D"/>
    <w:rsid w:val="00E7186E"/>
    <w:rsid w:val="00E71EE6"/>
    <w:rsid w:val="00E727ED"/>
    <w:rsid w:val="00E73AFA"/>
    <w:rsid w:val="00EC7DC2"/>
    <w:rsid w:val="00ED1BEA"/>
    <w:rsid w:val="00ED7270"/>
    <w:rsid w:val="00EE5EFA"/>
    <w:rsid w:val="00EE73BA"/>
    <w:rsid w:val="00EF4824"/>
    <w:rsid w:val="00EF6B37"/>
    <w:rsid w:val="00F04679"/>
    <w:rsid w:val="00F145CC"/>
    <w:rsid w:val="00F146D1"/>
    <w:rsid w:val="00F160D3"/>
    <w:rsid w:val="00F2041E"/>
    <w:rsid w:val="00F21E53"/>
    <w:rsid w:val="00F26395"/>
    <w:rsid w:val="00F31707"/>
    <w:rsid w:val="00F36427"/>
    <w:rsid w:val="00F4397A"/>
    <w:rsid w:val="00F44011"/>
    <w:rsid w:val="00F45F92"/>
    <w:rsid w:val="00F46C72"/>
    <w:rsid w:val="00F47306"/>
    <w:rsid w:val="00F518E4"/>
    <w:rsid w:val="00F5314F"/>
    <w:rsid w:val="00F60688"/>
    <w:rsid w:val="00F64FEA"/>
    <w:rsid w:val="00F92017"/>
    <w:rsid w:val="00FA0DC3"/>
    <w:rsid w:val="00FA4058"/>
    <w:rsid w:val="00FA48C5"/>
    <w:rsid w:val="00FA5ECC"/>
    <w:rsid w:val="00FA69E8"/>
    <w:rsid w:val="00FA7286"/>
    <w:rsid w:val="00FB155A"/>
    <w:rsid w:val="00FC2E28"/>
    <w:rsid w:val="00FC7052"/>
    <w:rsid w:val="00FC7A19"/>
    <w:rsid w:val="00FD087F"/>
    <w:rsid w:val="00FD3806"/>
    <w:rsid w:val="00FE096D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CD0EC"/>
  <w15:chartTrackingRefBased/>
  <w15:docId w15:val="{81C73086-8012-4F11-AC41-AEFB5330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E"/>
    <w:pPr>
      <w:adjustRightInd w:val="0"/>
      <w:snapToGrid w:val="0"/>
      <w:spacing w:after="60" w:line="360" w:lineRule="auto"/>
    </w:pPr>
    <w:rPr>
      <w:rFonts w:ascii="Arial" w:eastAsia="DengXian" w:hAnsi="Arial" w:cs="Arial"/>
      <w:lang w:val="fr-FR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rsid w:val="00BE218E"/>
    <w:pPr>
      <w:keepNext/>
      <w:keepLines/>
      <w:spacing w:before="480" w:after="0"/>
      <w:jc w:val="both"/>
      <w:outlineLvl w:val="0"/>
    </w:pPr>
    <w:rPr>
      <w:rFonts w:eastAsia="DengXian Light" w:cs="Times New Roman"/>
      <w:b/>
      <w:bCs/>
      <w:szCs w:val="28"/>
      <w:lang w:eastAsia="en-US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BE218E"/>
    <w:pPr>
      <w:spacing w:after="60"/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E218E"/>
    <w:pPr>
      <w:numPr>
        <w:ilvl w:val="1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73ED"/>
    <w:pPr>
      <w:keepNext/>
      <w:keepLines/>
      <w:numPr>
        <w:ilvl w:val="2"/>
        <w:numId w:val="1"/>
      </w:numPr>
      <w:spacing w:before="40" w:after="0"/>
      <w:ind w:left="1080"/>
      <w:outlineLvl w:val="3"/>
    </w:pPr>
    <w:rPr>
      <w:rFonts w:eastAsiaTheme="majorEastAsia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21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BE218E"/>
    <w:rPr>
      <w:rFonts w:ascii="Arial" w:eastAsia="DengXian Light" w:hAnsi="Arial" w:cs="Times New Roman"/>
      <w:b/>
      <w:bCs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BE218E"/>
    <w:rPr>
      <w:rFonts w:ascii="Arial" w:eastAsia="DengXian" w:hAnsi="Arial" w:cs="Arial"/>
      <w:b/>
      <w:bCs/>
      <w:iCs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E218E"/>
    <w:rPr>
      <w:rFonts w:ascii="Arial" w:eastAsia="DengXian" w:hAnsi="Arial" w:cs="Arial"/>
      <w:b/>
      <w:bCs/>
      <w:i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BE2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18E"/>
    <w:rPr>
      <w:rFonts w:ascii="Arial" w:eastAsia="DengXian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2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18E"/>
    <w:rPr>
      <w:rFonts w:ascii="Arial" w:eastAsia="DengXian" w:hAnsi="Arial" w:cs="Arial"/>
      <w:lang w:val="fr-FR"/>
    </w:rPr>
  </w:style>
  <w:style w:type="paragraph" w:styleId="Sansinterligne">
    <w:name w:val="No Spacing"/>
    <w:basedOn w:val="Titre5"/>
    <w:uiPriority w:val="1"/>
    <w:rsid w:val="00BE218E"/>
    <w:pPr>
      <w:keepNext w:val="0"/>
      <w:keepLines w:val="0"/>
      <w:numPr>
        <w:numId w:val="1"/>
      </w:numPr>
      <w:tabs>
        <w:tab w:val="left" w:pos="426"/>
      </w:tabs>
      <w:spacing w:before="0"/>
      <w:jc w:val="both"/>
    </w:pPr>
    <w:rPr>
      <w:rFonts w:ascii="Arial" w:eastAsia="DengXian" w:hAnsi="Arial" w:cs="Arial"/>
      <w:b/>
      <w:bCs/>
      <w:iCs/>
      <w:color w:val="auto"/>
    </w:rPr>
  </w:style>
  <w:style w:type="paragraph" w:styleId="TM2">
    <w:name w:val="toc 2"/>
    <w:basedOn w:val="Normal"/>
    <w:next w:val="Normal"/>
    <w:autoRedefine/>
    <w:uiPriority w:val="39"/>
    <w:unhideWhenUsed/>
    <w:rsid w:val="00BE218E"/>
    <w:pPr>
      <w:tabs>
        <w:tab w:val="left" w:pos="400"/>
        <w:tab w:val="right" w:pos="9396"/>
      </w:tabs>
      <w:spacing w:after="0"/>
    </w:pPr>
    <w:rPr>
      <w:b/>
      <w:iCs/>
    </w:rPr>
  </w:style>
  <w:style w:type="character" w:styleId="Lienhypertexte">
    <w:name w:val="Hyperlink"/>
    <w:uiPriority w:val="99"/>
    <w:unhideWhenUsed/>
    <w:rsid w:val="00BE218E"/>
    <w:rPr>
      <w:color w:val="0563C1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E218E"/>
    <w:pPr>
      <w:tabs>
        <w:tab w:val="left" w:pos="800"/>
        <w:tab w:val="right" w:pos="9396"/>
      </w:tabs>
      <w:spacing w:after="0"/>
      <w:ind w:left="198"/>
    </w:pPr>
    <w:rPr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BE218E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paragraph" w:styleId="Paragraphedeliste">
    <w:name w:val="List Paragraph"/>
    <w:basedOn w:val="Normal"/>
    <w:uiPriority w:val="34"/>
    <w:qFormat/>
    <w:rsid w:val="00407A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0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0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0C2E"/>
    <w:rPr>
      <w:rFonts w:ascii="Arial" w:eastAsia="DengXian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C2E"/>
    <w:rPr>
      <w:rFonts w:ascii="Arial" w:eastAsia="DengXian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C2E"/>
    <w:rPr>
      <w:rFonts w:ascii="Segoe UI" w:eastAsia="DengXian" w:hAnsi="Segoe UI" w:cs="Segoe UI"/>
      <w:sz w:val="18"/>
      <w:szCs w:val="18"/>
      <w:lang w:val="fr-FR"/>
    </w:rPr>
  </w:style>
  <w:style w:type="character" w:customStyle="1" w:styleId="longtext">
    <w:name w:val="long_text"/>
    <w:basedOn w:val="Policepardfaut"/>
    <w:rsid w:val="00921F37"/>
  </w:style>
  <w:style w:type="character" w:customStyle="1" w:styleId="hps">
    <w:name w:val="hps"/>
    <w:basedOn w:val="Policepardfaut"/>
    <w:rsid w:val="00921F37"/>
  </w:style>
  <w:style w:type="table" w:styleId="Grilledutableau">
    <w:name w:val="Table Grid"/>
    <w:basedOn w:val="TableauNormal"/>
    <w:uiPriority w:val="59"/>
    <w:rsid w:val="00921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2673ED"/>
    <w:rPr>
      <w:rFonts w:ascii="Arial" w:eastAsiaTheme="majorEastAsia" w:hAnsi="Arial" w:cs="Arial"/>
      <w:b/>
      <w:iCs/>
      <w:lang w:val="fr-FR"/>
    </w:rPr>
  </w:style>
  <w:style w:type="character" w:styleId="Titredulivre">
    <w:name w:val="Book Title"/>
    <w:basedOn w:val="Policepardfaut"/>
    <w:uiPriority w:val="33"/>
    <w:qFormat/>
    <w:rsid w:val="002673ED"/>
    <w:rPr>
      <w:b/>
      <w:bCs/>
      <w:i/>
      <w:iCs/>
      <w:spacing w:val="5"/>
    </w:rPr>
  </w:style>
  <w:style w:type="paragraph" w:styleId="TM4">
    <w:name w:val="toc 4"/>
    <w:basedOn w:val="Normal"/>
    <w:next w:val="Normal"/>
    <w:autoRedefine/>
    <w:uiPriority w:val="39"/>
    <w:unhideWhenUsed/>
    <w:rsid w:val="002673ED"/>
    <w:pPr>
      <w:spacing w:after="100"/>
      <w:ind w:left="660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FA0DC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01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01BD"/>
    <w:rPr>
      <w:rFonts w:ascii="Arial" w:eastAsia="DengXian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601BD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5B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199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82AB3"/>
    <w:pPr>
      <w:spacing w:after="0" w:line="240" w:lineRule="auto"/>
    </w:pPr>
    <w:rPr>
      <w:rFonts w:ascii="Arial" w:eastAsia="DengXian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BE3F559753E488AFDDBCD7F146ABB" ma:contentTypeVersion="15" ma:contentTypeDescription="Ein neues Dokument erstellen." ma:contentTypeScope="" ma:versionID="bfe6a7b60dc859c70727a5f08eb18746">
  <xsd:schema xmlns:xsd="http://www.w3.org/2001/XMLSchema" xmlns:xs="http://www.w3.org/2001/XMLSchema" xmlns:p="http://schemas.microsoft.com/office/2006/metadata/properties" xmlns:ns3="907893df-e52f-4eab-b59d-f0542003b34e" xmlns:ns4="40b0bd31-8ab6-4d4e-b94d-8302650ece8f" targetNamespace="http://schemas.microsoft.com/office/2006/metadata/properties" ma:root="true" ma:fieldsID="87c7865bf5e16ac78920c14771b768bb" ns3:_="" ns4:_="">
    <xsd:import namespace="907893df-e52f-4eab-b59d-f0542003b34e"/>
    <xsd:import namespace="40b0bd31-8ab6-4d4e-b94d-8302650ec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93df-e52f-4eab-b59d-f0542003b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0bd31-8ab6-4d4e-b94d-8302650ec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b0bd31-8ab6-4d4e-b94d-8302650ece8f">
      <UserInfo>
        <DisplayName/>
        <AccountId xsi:nil="true"/>
        <AccountType/>
      </UserInfo>
    </SharedWithUsers>
    <MediaLengthInSeconds xmlns="907893df-e52f-4eab-b59d-f0542003b34e" xsi:nil="true"/>
    <_activity xmlns="907893df-e52f-4eab-b59d-f0542003b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1542-D768-42B4-8029-32883C4F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93df-e52f-4eab-b59d-f0542003b34e"/>
    <ds:schemaRef ds:uri="40b0bd31-8ab6-4d4e-b94d-8302650ec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2040E-E94C-4A68-93C2-118ED9FE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8CDD3-4501-45E5-998D-73A172315A27}">
  <ds:schemaRefs>
    <ds:schemaRef ds:uri="http://purl.org/dc/elements/1.1/"/>
    <ds:schemaRef ds:uri="http://purl.org/dc/terms/"/>
    <ds:schemaRef ds:uri="http://schemas.microsoft.com/office/2006/metadata/properties"/>
    <ds:schemaRef ds:uri="907893df-e52f-4eab-b59d-f0542003b34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b0bd31-8ab6-4d4e-b94d-8302650ece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064974-4974-47C5-8786-BEF9139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3631</Words>
  <Characters>19973</Characters>
  <Application>Microsoft Office Word</Application>
  <DocSecurity>0</DocSecurity>
  <Lines>166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Ousseynou Ndiaye Dacosta</dc:creator>
  <cp:keywords/>
  <dc:description/>
  <cp:lastModifiedBy>HP</cp:lastModifiedBy>
  <cp:revision>2</cp:revision>
  <cp:lastPrinted>2020-09-24T15:21:00Z</cp:lastPrinted>
  <dcterms:created xsi:type="dcterms:W3CDTF">2024-04-03T19:22:00Z</dcterms:created>
  <dcterms:modified xsi:type="dcterms:W3CDTF">2024-04-03T19:22:00Z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0x010100C17BE3F559753E488AFDDBCD7F146ABB</vt:lpwstr>
  </property>
  <property fmtid="{D5CDD505-2E9C-101B-9397-08002B2CF9AE}" pid="3" name="Order">
    <vt:r8>1816500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