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4CF42" w14:textId="67A1F870"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699844D8" w14:textId="40F5E9AA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4767" w14:textId="3B8CC976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3197701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A9BBE90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E2C572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12F82F9F" w14:textId="5285678F"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168A0A17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0E45397F" w14:textId="10F41420" w:rsidR="00BF76E8" w:rsidRPr="00C744F7" w:rsidRDefault="00BF76E8" w:rsidP="00BF76E8">
            <w:pPr>
              <w:rPr>
                <w:rFonts w:ascii="Arial Narrow" w:hAnsi="Arial Narrow" w:cs="Arial"/>
                <w:b/>
                <w:szCs w:val="22"/>
                <w:lang w:val="fr-FR"/>
              </w:rPr>
            </w:pP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 T</w:t>
            </w:r>
            <w:r w:rsidRPr="00C744F7">
              <w:rPr>
                <w:rFonts w:ascii="Calibri" w:hAnsi="Calibri" w:cs="Calibri"/>
                <w:b/>
                <w:sz w:val="28"/>
              </w:rPr>
              <w:t xml:space="preserve">ravaux de réalisation de </w:t>
            </w: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trois (3) </w:t>
            </w:r>
            <w:r w:rsidRPr="00C744F7">
              <w:rPr>
                <w:rFonts w:ascii="Calibri" w:hAnsi="Calibri" w:cs="Calibri"/>
                <w:b/>
                <w:sz w:val="28"/>
              </w:rPr>
              <w:t>puits</w:t>
            </w:r>
            <w:r>
              <w:rPr>
                <w:rFonts w:ascii="Calibri" w:hAnsi="Calibri" w:cs="Calibri"/>
                <w:b/>
                <w:sz w:val="28"/>
                <w:lang w:val="fr-FR"/>
              </w:rPr>
              <w:t xml:space="preserve"> cimentés</w:t>
            </w:r>
            <w:r w:rsidRPr="00C744F7">
              <w:rPr>
                <w:rFonts w:ascii="Calibri" w:hAnsi="Calibri" w:cs="Calibri"/>
                <w:b/>
                <w:sz w:val="28"/>
              </w:rPr>
              <w:t xml:space="preserve"> et de </w:t>
            </w: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trois (3) </w:t>
            </w:r>
            <w:r w:rsidRPr="00C744F7">
              <w:rPr>
                <w:rFonts w:ascii="Calibri" w:hAnsi="Calibri" w:cs="Calibri"/>
                <w:b/>
                <w:sz w:val="28"/>
              </w:rPr>
              <w:t>réhabilitations</w:t>
            </w:r>
            <w:r>
              <w:rPr>
                <w:rFonts w:ascii="Calibri" w:hAnsi="Calibri" w:cs="Calibri"/>
                <w:b/>
                <w:sz w:val="28"/>
                <w:lang w:val="fr-FR"/>
              </w:rPr>
              <w:t xml:space="preserve"> d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lang w:val="fr-FR"/>
              </w:rPr>
              <w:t>e puits cimentés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C744F7">
              <w:rPr>
                <w:rFonts w:ascii="Calibri" w:hAnsi="Calibri" w:cs="Calibri"/>
                <w:b/>
                <w:sz w:val="28"/>
              </w:rPr>
              <w:t>pastoraux dans la Commune de Nguigmi, Région de Diffa</w:t>
            </w:r>
            <w:r w:rsidRPr="00C744F7">
              <w:rPr>
                <w:rFonts w:ascii="Arial Narrow" w:hAnsi="Arial Narrow" w:cs="Arial"/>
                <w:b/>
                <w:sz w:val="28"/>
                <w:lang w:val="fr-FR"/>
              </w:rPr>
              <w:t xml:space="preserve"> </w:t>
            </w:r>
          </w:p>
          <w:p w14:paraId="10BB7ACE" w14:textId="77777777" w:rsidR="00BF76E8" w:rsidRPr="00063A9A" w:rsidRDefault="00BF76E8" w:rsidP="00BF76E8">
            <w:pPr>
              <w:ind w:right="7494"/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</w:pPr>
          </w:p>
          <w:p w14:paraId="0362F71F" w14:textId="77777777" w:rsidR="00BF76E8" w:rsidRPr="00063A9A" w:rsidRDefault="00BF76E8" w:rsidP="00BF76E8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063A9A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APPEL D'OFFRE NATIONAL</w:t>
            </w:r>
          </w:p>
          <w:p w14:paraId="06AF2247" w14:textId="2A08A717" w:rsidR="00BF76E8" w:rsidRPr="00063A9A" w:rsidRDefault="00BF76E8" w:rsidP="00BF76E8">
            <w:pPr>
              <w:jc w:val="center"/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</w:pPr>
            <w:r w:rsidRPr="00063A9A"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  <w:t xml:space="preserve">Réf. de l'appel d'offre N°. </w:t>
            </w:r>
            <w:r w:rsidR="00EF458D" w:rsidRPr="00EF458D">
              <w:rPr>
                <w:rFonts w:ascii="Arial Narrow" w:hAnsi="Arial Narrow" w:cs="Arial"/>
              </w:rPr>
              <w:t>T</w:t>
            </w:r>
            <w:r w:rsidR="00EF458D" w:rsidRPr="00312AD2">
              <w:rPr>
                <w:rFonts w:ascii="Arial Narrow" w:hAnsi="Arial Narrow" w:cs="Arial"/>
              </w:rPr>
              <w:t>/30FFZ/RGP/WRR/NIAMEY/PROGRAMME/12/04/2023</w:t>
            </w:r>
          </w:p>
          <w:p w14:paraId="68E9F56D" w14:textId="4D714A89" w:rsidR="00944515" w:rsidRPr="0067127D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3140A7F6" w14:textId="046F3114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E93A41">
              <w:rPr>
                <w:rFonts w:ascii="Arial Narrow" w:hAnsi="Arial Narrow" w:cs="Arial"/>
                <w:sz w:val="20"/>
                <w:szCs w:val="20"/>
                <w:lang w:val="fr-FR"/>
              </w:rPr>
              <w:t>USAID/BHA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Amélioration de la sécurité alimentaire et des moyens de subsistance des populations agricoles et pastorales affectées par les crises dans les régions de </w:t>
            </w:r>
            <w:proofErr w:type="spellStart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Tillaberi</w:t>
            </w:r>
            <w:proofErr w:type="spellEnd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et Diffa au Niger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invite les fournisseurs d’équipement à soumettre leurs of</w:t>
            </w:r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fres pour chaque </w:t>
            </w:r>
            <w:proofErr w:type="gramStart"/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>lots</w:t>
            </w:r>
            <w:proofErr w:type="gramEnd"/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de travaux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t décri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ci-dessous :</w:t>
            </w:r>
          </w:p>
          <w:p w14:paraId="18784BBB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59FE03B9" w14:textId="2D46639E" w:rsidR="00944515" w:rsidRDefault="00944515" w:rsidP="00944515">
            <w:pPr>
              <w:jc w:val="center"/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NB : les soumissionnaires sont libres de pr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oposer une offre pour un ou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les 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2 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lots</w:t>
            </w:r>
          </w:p>
          <w:p w14:paraId="00E1B24B" w14:textId="77777777"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09"/>
              <w:gridCol w:w="757"/>
              <w:gridCol w:w="3971"/>
              <w:gridCol w:w="882"/>
              <w:gridCol w:w="849"/>
              <w:gridCol w:w="1558"/>
              <w:gridCol w:w="1668"/>
            </w:tblGrid>
            <w:tr w:rsidR="00EF458D" w:rsidRPr="00F96738" w14:paraId="4372163B" w14:textId="77777777" w:rsidTr="00EF458D">
              <w:trPr>
                <w:trHeight w:val="510"/>
                <w:jc w:val="center"/>
              </w:trPr>
              <w:tc>
                <w:tcPr>
                  <w:tcW w:w="813" w:type="dxa"/>
                  <w:shd w:val="clear" w:color="auto" w:fill="C0C0C0"/>
                  <w:vAlign w:val="center"/>
                </w:tcPr>
                <w:p w14:paraId="6D8191CE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757" w:type="dxa"/>
                  <w:shd w:val="clear" w:color="auto" w:fill="C0C0C0"/>
                  <w:vAlign w:val="center"/>
                </w:tcPr>
                <w:p w14:paraId="1EC36C4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3990" w:type="dxa"/>
                  <w:shd w:val="clear" w:color="auto" w:fill="C0C0C0"/>
                  <w:vAlign w:val="center"/>
                </w:tcPr>
                <w:p w14:paraId="4A1D6FC1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51" w:type="dxa"/>
                  <w:shd w:val="clear" w:color="auto" w:fill="C0C0C0"/>
                  <w:vAlign w:val="center"/>
                </w:tcPr>
                <w:p w14:paraId="66550D09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850" w:type="dxa"/>
                  <w:shd w:val="clear" w:color="auto" w:fill="C0C0C0"/>
                  <w:vAlign w:val="center"/>
                </w:tcPr>
                <w:p w14:paraId="67E20EE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1559" w:type="dxa"/>
                  <w:shd w:val="clear" w:color="auto" w:fill="C0C0C0"/>
                  <w:vAlign w:val="center"/>
                </w:tcPr>
                <w:p w14:paraId="666183D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674" w:type="dxa"/>
                  <w:shd w:val="clear" w:color="auto" w:fill="C0C0C0"/>
                  <w:vAlign w:val="center"/>
                </w:tcPr>
                <w:p w14:paraId="460B882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EF458D" w:rsidRPr="00F96738" w14:paraId="4DF5AA9C" w14:textId="77777777" w:rsidTr="00EF458D">
              <w:trPr>
                <w:trHeight w:val="576"/>
                <w:jc w:val="center"/>
              </w:trPr>
              <w:tc>
                <w:tcPr>
                  <w:tcW w:w="813" w:type="dxa"/>
                  <w:vAlign w:val="center"/>
                </w:tcPr>
                <w:p w14:paraId="0ACBB0C6" w14:textId="77777777"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757" w:type="dxa"/>
                  <w:vAlign w:val="center"/>
                </w:tcPr>
                <w:p w14:paraId="43495F84" w14:textId="56435342" w:rsidR="002F523D" w:rsidRPr="00A04AC5" w:rsidRDefault="002F523D" w:rsidP="00E93A4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30</w:t>
                  </w:r>
                  <w:r w:rsidR="00EF4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FFZ</w:t>
                  </w:r>
                </w:p>
              </w:tc>
              <w:tc>
                <w:tcPr>
                  <w:tcW w:w="3990" w:type="dxa"/>
                  <w:vAlign w:val="center"/>
                </w:tcPr>
                <w:p w14:paraId="70E21EA5" w14:textId="4BA2A28C" w:rsidR="002F523D" w:rsidRPr="00EF458D" w:rsidRDefault="00244BE8" w:rsidP="00EF458D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</w:pP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Construction de 3 puits cimenté Pastoraux</w:t>
                  </w:r>
                  <w:r w:rsidR="00D16F5F"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 xml:space="preserve">dans le village 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 (</w:t>
                  </w:r>
                  <w:r w:rsidR="00EF458D" w:rsidRPr="00EF458D">
                    <w:rPr>
                      <w:rFonts w:ascii="Arial Narrow" w:hAnsi="Arial Narrow" w:cstheme="minorHAnsi"/>
                      <w:bCs/>
                      <w:sz w:val="22"/>
                      <w:szCs w:val="22"/>
                      <w:lang w:val="en-US"/>
                    </w:rPr>
                    <w:t>YOUNOUSSARI, BIROURI ET WALWAL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) dans le département de N’Nguigmi </w:t>
                  </w:r>
                </w:p>
              </w:tc>
              <w:tc>
                <w:tcPr>
                  <w:tcW w:w="851" w:type="dxa"/>
                  <w:vAlign w:val="center"/>
                </w:tcPr>
                <w:p w14:paraId="2DBE9C06" w14:textId="0154C5F3" w:rsidR="002F523D" w:rsidRPr="00F96738" w:rsidRDefault="00244BE8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850" w:type="dxa"/>
                  <w:vAlign w:val="center"/>
                </w:tcPr>
                <w:p w14:paraId="0474643B" w14:textId="3DBC5765" w:rsidR="002F523D" w:rsidRPr="00AF60B5" w:rsidRDefault="00445289" w:rsidP="00944515">
                  <w:pP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Forage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14:paraId="0035DAF1" w14:textId="0A3FA197" w:rsidR="00E93A41" w:rsidRPr="00952C51" w:rsidRDefault="00445289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>D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>épartement de N’Nguigmi</w:t>
                  </w:r>
                </w:p>
              </w:tc>
              <w:tc>
                <w:tcPr>
                  <w:tcW w:w="1674" w:type="dxa"/>
                  <w:vAlign w:val="center"/>
                </w:tcPr>
                <w:p w14:paraId="2D1D092C" w14:textId="2EE61DB9" w:rsidR="002F523D" w:rsidRPr="00F96738" w:rsidRDefault="00763F69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10</w:t>
                  </w:r>
                  <w:r w:rsidR="002F523D"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="002F523D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EF458D" w:rsidRPr="00F96738" w14:paraId="6D580AE9" w14:textId="77777777" w:rsidTr="00EF458D">
              <w:trPr>
                <w:trHeight w:val="556"/>
                <w:jc w:val="center"/>
              </w:trPr>
              <w:tc>
                <w:tcPr>
                  <w:tcW w:w="813" w:type="dxa"/>
                  <w:vAlign w:val="center"/>
                </w:tcPr>
                <w:p w14:paraId="7D3437A4" w14:textId="77777777" w:rsidR="002F523D" w:rsidRDefault="002F523D" w:rsidP="004B693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757" w:type="dxa"/>
                  <w:vAlign w:val="center"/>
                </w:tcPr>
                <w:p w14:paraId="57478616" w14:textId="1647D4C6" w:rsidR="002F523D" w:rsidRPr="009C1315" w:rsidRDefault="00CA32C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="00EF4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</w:t>
                  </w:r>
                </w:p>
              </w:tc>
              <w:tc>
                <w:tcPr>
                  <w:tcW w:w="3990" w:type="dxa"/>
                  <w:vAlign w:val="center"/>
                </w:tcPr>
                <w:p w14:paraId="6DEFEF67" w14:textId="480CA71A" w:rsidR="002F523D" w:rsidRPr="00EF458D" w:rsidRDefault="00244BE8" w:rsidP="00445289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</w:pP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Rehabilitation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 xml:space="preserve"> de 3 puits Pastoraux</w:t>
                  </w:r>
                  <w:r w:rsidR="00D16F5F"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 xml:space="preserve"> dans le village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 xml:space="preserve"> (</w:t>
                  </w:r>
                  <w:r w:rsidR="00EF458D" w:rsidRPr="00EF458D">
                    <w:rPr>
                      <w:rFonts w:ascii="Arial Narrow" w:hAnsi="Arial Narrow" w:cstheme="minorHAnsi"/>
                      <w:bCs/>
                      <w:sz w:val="22"/>
                      <w:szCs w:val="22"/>
                      <w:lang w:val="fr-FR"/>
                    </w:rPr>
                    <w:t>OUDI ARABE, KAWA ET OUDI GAROU MELLÉ</w:t>
                  </w:r>
                  <w:r w:rsidRPr="00EF458D">
                    <w:rPr>
                      <w:rFonts w:ascii="Arial Narrow" w:hAnsi="Arial Narrow" w:cs="Arial"/>
                      <w:bCs/>
                      <w:sz w:val="22"/>
                      <w:szCs w:val="22"/>
                      <w:lang w:val="fr-FR"/>
                    </w:rPr>
                    <w:t>) dans le Département de N’Nguigmi</w:t>
                  </w:r>
                </w:p>
              </w:tc>
              <w:tc>
                <w:tcPr>
                  <w:tcW w:w="851" w:type="dxa"/>
                  <w:vAlign w:val="center"/>
                </w:tcPr>
                <w:p w14:paraId="28C03476" w14:textId="499E658F" w:rsidR="002F523D" w:rsidRPr="00F96738" w:rsidRDefault="00445289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850" w:type="dxa"/>
                  <w:vAlign w:val="center"/>
                </w:tcPr>
                <w:p w14:paraId="70A95806" w14:textId="0186944F" w:rsidR="002F523D" w:rsidRPr="00AF60B5" w:rsidRDefault="00445289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Forage</w:t>
                  </w:r>
                </w:p>
              </w:tc>
              <w:tc>
                <w:tcPr>
                  <w:tcW w:w="1559" w:type="dxa"/>
                  <w:vMerge/>
                  <w:shd w:val="clear" w:color="auto" w:fill="auto"/>
                  <w:vAlign w:val="center"/>
                </w:tcPr>
                <w:p w14:paraId="2BA2D11F" w14:textId="21748DA9" w:rsidR="002F523D" w:rsidRPr="00952C51" w:rsidRDefault="002F523D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14:paraId="203D5E51" w14:textId="27EFB50C" w:rsidR="002F523D" w:rsidRPr="00F96738" w:rsidRDefault="00CA32C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8</w:t>
                  </w:r>
                  <w:r w:rsidR="002F523D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</w:p>
              </w:tc>
            </w:tr>
          </w:tbl>
          <w:p w14:paraId="65A78367" w14:textId="12DD5006" w:rsidR="00944515" w:rsidRPr="002F523D" w:rsidRDefault="00944515" w:rsidP="00244BE8">
            <w:pPr>
              <w:jc w:val="center"/>
              <w:rPr>
                <w:rFonts w:ascii="Arial Narrow" w:hAnsi="Arial Narrow" w:cs="Arial"/>
                <w:lang w:val="fr-FR"/>
              </w:rPr>
            </w:pPr>
          </w:p>
          <w:p w14:paraId="666902DF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65A019E6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0E742E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) peuvent être retirés gratuitement 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278BEA92" w14:textId="6A1F57B5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en face de l’école de cadre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FD6BC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14:paraId="3DB29F0F" w14:textId="77777777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Diffa, République du Niger,</w:t>
            </w:r>
          </w:p>
          <w:p w14:paraId="088CC8E3" w14:textId="3391C3F5" w:rsidR="00944515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N’</w:t>
            </w:r>
            <w:proofErr w:type="spellStart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Niger,</w:t>
            </w:r>
          </w:p>
          <w:p w14:paraId="7913AD45" w14:textId="216F5CAB" w:rsidR="00E93A41" w:rsidRPr="00EF458D" w:rsidRDefault="00E93A41" w:rsidP="00EF458D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F458D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Tillabery</w:t>
            </w:r>
            <w:r w:rsidR="004D0198" w:rsidRPr="00EF458D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– Face Bureau UNHCR, Quartier Riz du Niger</w:t>
            </w:r>
          </w:p>
          <w:p w14:paraId="1C03560D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709034B" w14:textId="0AF0EAC1" w:rsidR="00944515" w:rsidRPr="00952C51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71336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20/04/2023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bureaux de Diffa, N’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Tillabery</w:t>
            </w:r>
            <w:proofErr w:type="spellEnd"/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BE68B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713365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30/04/2023 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(+227 96 87 58 </w:t>
            </w:r>
            <w:r w:rsidR="00103154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103154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FD0348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7C088B" w14:textId="676C63AC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71336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03/05/2023 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18H00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7E608CBE" w14:textId="77777777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59044377" w14:textId="4DB34FDE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730BE172" w14:textId="29D4BE8A" w:rsidR="00AD3527" w:rsidRDefault="00AD3527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619E6BCE" w14:textId="25B147BA" w:rsidR="00AD3527" w:rsidRPr="00AD3527" w:rsidRDefault="00AD3527" w:rsidP="0094451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AD352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NB : Passer avec une clé USB pour le retrait du DAO.</w:t>
            </w:r>
          </w:p>
          <w:p w14:paraId="139D228C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430112" w14:textId="143BD0BB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71336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11/05/</w:t>
            </w:r>
            <w:r w:rsidR="00E721F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2023 </w:t>
            </w:r>
            <w:r w:rsidR="00E721FA"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à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14:paraId="11BC4A1B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0A8F252D" w14:textId="7D29B7CA" w:rsidR="00944515" w:rsidRPr="004E3BF4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 </w:t>
            </w:r>
            <w:r w:rsidR="00F1651A" w:rsidRPr="002732FD">
              <w:rPr>
                <w:rFonts w:ascii="Arial Narrow" w:hAnsi="Arial Narrow" w:cs="Arial"/>
                <w:i/>
                <w:sz w:val="20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+33 6 07 22 46 28 et/ou envoyer un courriel à </w:t>
            </w:r>
            <w:hyperlink r:id="rId9" w:history="1">
              <w:r w:rsidR="00F1651A" w:rsidRPr="002732FD">
                <w:rPr>
                  <w:rStyle w:val="Lienhypertexte"/>
                  <w:rFonts w:ascii="Arial Narrow" w:hAnsi="Arial Narrow" w:cs="Arial"/>
                  <w:i/>
                  <w:sz w:val="20"/>
                  <w:szCs w:val="20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5874" w14:textId="77777777" w:rsidR="00801784" w:rsidRDefault="00801784">
      <w:r>
        <w:separator/>
      </w:r>
    </w:p>
  </w:endnote>
  <w:endnote w:type="continuationSeparator" w:id="0">
    <w:p w14:paraId="53DBB8D0" w14:textId="77777777" w:rsidR="00801784" w:rsidRDefault="008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AD4F" w14:textId="77777777" w:rsidR="00801784" w:rsidRDefault="00801784">
      <w:r>
        <w:separator/>
      </w:r>
    </w:p>
  </w:footnote>
  <w:footnote w:type="continuationSeparator" w:id="0">
    <w:p w14:paraId="2A36069E" w14:textId="77777777" w:rsidR="00801784" w:rsidRDefault="0080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D3A"/>
    <w:multiLevelType w:val="hybridMultilevel"/>
    <w:tmpl w:val="2570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55C42"/>
    <w:rsid w:val="000728CD"/>
    <w:rsid w:val="00075E9D"/>
    <w:rsid w:val="00077041"/>
    <w:rsid w:val="0008479E"/>
    <w:rsid w:val="00094686"/>
    <w:rsid w:val="000B43D3"/>
    <w:rsid w:val="000C66C8"/>
    <w:rsid w:val="000D2724"/>
    <w:rsid w:val="000D2CD3"/>
    <w:rsid w:val="000E7B3F"/>
    <w:rsid w:val="00103154"/>
    <w:rsid w:val="00122D17"/>
    <w:rsid w:val="001353D2"/>
    <w:rsid w:val="001532DD"/>
    <w:rsid w:val="0016204A"/>
    <w:rsid w:val="001A146D"/>
    <w:rsid w:val="001C14E9"/>
    <w:rsid w:val="001C4695"/>
    <w:rsid w:val="001E358A"/>
    <w:rsid w:val="001E49E3"/>
    <w:rsid w:val="001F2B3E"/>
    <w:rsid w:val="001F6EE5"/>
    <w:rsid w:val="002232D3"/>
    <w:rsid w:val="0023536F"/>
    <w:rsid w:val="00244BE8"/>
    <w:rsid w:val="00256A0E"/>
    <w:rsid w:val="00262CA4"/>
    <w:rsid w:val="00272E6A"/>
    <w:rsid w:val="0027417C"/>
    <w:rsid w:val="00295331"/>
    <w:rsid w:val="002973A5"/>
    <w:rsid w:val="002A4CFB"/>
    <w:rsid w:val="002B5B28"/>
    <w:rsid w:val="002C556D"/>
    <w:rsid w:val="002C5A3E"/>
    <w:rsid w:val="002E52B5"/>
    <w:rsid w:val="002E685D"/>
    <w:rsid w:val="002F498B"/>
    <w:rsid w:val="002F523D"/>
    <w:rsid w:val="00341849"/>
    <w:rsid w:val="003567E1"/>
    <w:rsid w:val="003B3E8D"/>
    <w:rsid w:val="003C2BB4"/>
    <w:rsid w:val="003F6242"/>
    <w:rsid w:val="003F6900"/>
    <w:rsid w:val="00404ECD"/>
    <w:rsid w:val="004166C0"/>
    <w:rsid w:val="0043220B"/>
    <w:rsid w:val="004372FE"/>
    <w:rsid w:val="004410EA"/>
    <w:rsid w:val="0044350D"/>
    <w:rsid w:val="004438BD"/>
    <w:rsid w:val="00445289"/>
    <w:rsid w:val="004511CB"/>
    <w:rsid w:val="00454FB1"/>
    <w:rsid w:val="00456A7B"/>
    <w:rsid w:val="004620C5"/>
    <w:rsid w:val="004B6939"/>
    <w:rsid w:val="004D0198"/>
    <w:rsid w:val="004D082B"/>
    <w:rsid w:val="004D551C"/>
    <w:rsid w:val="004E3BF4"/>
    <w:rsid w:val="004E7565"/>
    <w:rsid w:val="004F4BBB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43D2"/>
    <w:rsid w:val="005F53B0"/>
    <w:rsid w:val="00617BD4"/>
    <w:rsid w:val="00624EC6"/>
    <w:rsid w:val="006404ED"/>
    <w:rsid w:val="00653CD7"/>
    <w:rsid w:val="00657D9C"/>
    <w:rsid w:val="006661C6"/>
    <w:rsid w:val="00666E86"/>
    <w:rsid w:val="0068766A"/>
    <w:rsid w:val="006A0CDB"/>
    <w:rsid w:val="006A72FF"/>
    <w:rsid w:val="006B1892"/>
    <w:rsid w:val="006C1EC7"/>
    <w:rsid w:val="006F3EAA"/>
    <w:rsid w:val="006F4A11"/>
    <w:rsid w:val="00713365"/>
    <w:rsid w:val="00730411"/>
    <w:rsid w:val="007407A0"/>
    <w:rsid w:val="00744B0D"/>
    <w:rsid w:val="00763F69"/>
    <w:rsid w:val="0077162C"/>
    <w:rsid w:val="007858DC"/>
    <w:rsid w:val="00794406"/>
    <w:rsid w:val="00796982"/>
    <w:rsid w:val="007B4BDA"/>
    <w:rsid w:val="007D7565"/>
    <w:rsid w:val="007E10B0"/>
    <w:rsid w:val="007E34D9"/>
    <w:rsid w:val="007F2ABF"/>
    <w:rsid w:val="00801784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F1D16"/>
    <w:rsid w:val="00902E64"/>
    <w:rsid w:val="00944515"/>
    <w:rsid w:val="00945C45"/>
    <w:rsid w:val="009503DF"/>
    <w:rsid w:val="00960DB6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24810"/>
    <w:rsid w:val="00A57DB4"/>
    <w:rsid w:val="00A77612"/>
    <w:rsid w:val="00A83C80"/>
    <w:rsid w:val="00AC39FC"/>
    <w:rsid w:val="00AD3527"/>
    <w:rsid w:val="00AD5374"/>
    <w:rsid w:val="00AE1BD7"/>
    <w:rsid w:val="00AE2B55"/>
    <w:rsid w:val="00AF0176"/>
    <w:rsid w:val="00AF11F8"/>
    <w:rsid w:val="00B3126C"/>
    <w:rsid w:val="00B3737B"/>
    <w:rsid w:val="00B40356"/>
    <w:rsid w:val="00B6333D"/>
    <w:rsid w:val="00B72334"/>
    <w:rsid w:val="00BA373A"/>
    <w:rsid w:val="00BB4595"/>
    <w:rsid w:val="00BC5EF8"/>
    <w:rsid w:val="00BC6C13"/>
    <w:rsid w:val="00BD7A02"/>
    <w:rsid w:val="00BD7EAF"/>
    <w:rsid w:val="00BE5255"/>
    <w:rsid w:val="00BE68B1"/>
    <w:rsid w:val="00BF2731"/>
    <w:rsid w:val="00BF76E8"/>
    <w:rsid w:val="00C35F6C"/>
    <w:rsid w:val="00C53297"/>
    <w:rsid w:val="00C53FD8"/>
    <w:rsid w:val="00C94A1F"/>
    <w:rsid w:val="00C95E9A"/>
    <w:rsid w:val="00CA32CD"/>
    <w:rsid w:val="00CA7AFE"/>
    <w:rsid w:val="00CC149F"/>
    <w:rsid w:val="00CE3FAB"/>
    <w:rsid w:val="00CF6733"/>
    <w:rsid w:val="00D02BA8"/>
    <w:rsid w:val="00D10A8A"/>
    <w:rsid w:val="00D16F5F"/>
    <w:rsid w:val="00D20DB3"/>
    <w:rsid w:val="00D36FFE"/>
    <w:rsid w:val="00D47E71"/>
    <w:rsid w:val="00D717F6"/>
    <w:rsid w:val="00DA268C"/>
    <w:rsid w:val="00DB289E"/>
    <w:rsid w:val="00DC08C6"/>
    <w:rsid w:val="00DC30FE"/>
    <w:rsid w:val="00E42AC3"/>
    <w:rsid w:val="00E51F7C"/>
    <w:rsid w:val="00E6132D"/>
    <w:rsid w:val="00E6590F"/>
    <w:rsid w:val="00E66F62"/>
    <w:rsid w:val="00E721FA"/>
    <w:rsid w:val="00E904EF"/>
    <w:rsid w:val="00E907D1"/>
    <w:rsid w:val="00E93A41"/>
    <w:rsid w:val="00E95948"/>
    <w:rsid w:val="00EB2B81"/>
    <w:rsid w:val="00EC122F"/>
    <w:rsid w:val="00EC66E3"/>
    <w:rsid w:val="00EC78CC"/>
    <w:rsid w:val="00ED0FCB"/>
    <w:rsid w:val="00EE53B0"/>
    <w:rsid w:val="00EF458D"/>
    <w:rsid w:val="00F07C3B"/>
    <w:rsid w:val="00F1562F"/>
    <w:rsid w:val="00F1651A"/>
    <w:rsid w:val="00F3028C"/>
    <w:rsid w:val="00F332FE"/>
    <w:rsid w:val="00F5052C"/>
    <w:rsid w:val="00F631DF"/>
    <w:rsid w:val="00F81634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A691-6B0D-47B2-A01E-2D6D852C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2</Pages>
  <Words>520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3462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2023-04-12T15:50:00Z</dcterms:created>
  <dcterms:modified xsi:type="dcterms:W3CDTF">2023-04-12T15:50:00Z</dcterms:modified>
</cp:coreProperties>
</file>