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13EA" w14:textId="75CF312D" w:rsidR="00FF11D5" w:rsidRPr="007A5549" w:rsidRDefault="00FF11D5" w:rsidP="00FF11D5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549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I. Avis d’Appel d’offres</w:t>
      </w:r>
    </w:p>
    <w:p w14:paraId="4610CE7A" w14:textId="77777777" w:rsidR="00FF11D5" w:rsidRPr="003324C1" w:rsidRDefault="00FF11D5" w:rsidP="00FF11D5">
      <w:pPr>
        <w:pStyle w:val="Titre1"/>
        <w:rPr>
          <w:rFonts w:ascii="Arial" w:hAnsi="Arial"/>
          <w:b w:val="0"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26318884"/>
      <w:r w:rsidRPr="003324C1">
        <w:rPr>
          <w:rFonts w:ascii="Arial" w:hAnsi="Arial"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 D’APPEL D’OFFRES OUVERT NATIONAL </w:t>
      </w:r>
      <w:r w:rsidRPr="003324C1">
        <w:rPr>
          <w:rFonts w:ascii="Arial" w:hAnsi="Arial"/>
          <w:color w:val="FF000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N°001/</w:t>
      </w:r>
      <w:r w:rsidRPr="003324C1">
        <w:rPr>
          <w:rFonts w:ascii="Arial" w:hAnsi="Arial"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CRN/AICRL/2023</w:t>
      </w:r>
      <w:bookmarkEnd w:id="0"/>
    </w:p>
    <w:p w14:paraId="0DCDE954" w14:textId="77777777" w:rsidR="00FF11D5" w:rsidRPr="009E0865" w:rsidRDefault="00FF11D5" w:rsidP="00E1410C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E0865">
        <w:rPr>
          <w:rFonts w:ascii="Arial" w:hAnsi="Arial" w:cs="Arial"/>
        </w:rPr>
        <w:t xml:space="preserve">Dans le cadre de la mise en œuvre des travaux </w:t>
      </w:r>
      <w:r>
        <w:rPr>
          <w:rFonts w:ascii="Arial" w:hAnsi="Arial" w:cs="Arial"/>
        </w:rPr>
        <w:t>de réhabilitation et d’extension des CSI dans les régions de Tahoua et Tillabéry</w:t>
      </w:r>
      <w:r w:rsidRPr="009E0865">
        <w:rPr>
          <w:rFonts w:ascii="Arial" w:hAnsi="Arial" w:cs="Arial"/>
        </w:rPr>
        <w:t>, et tel que défini dans le Code des Marchés publics, à son article 29 et 39 du décret N°2016-641/PRN/PM en date du 1er décembre 2016 du code des marchés publics et des délégations de service public.</w:t>
      </w:r>
    </w:p>
    <w:p w14:paraId="2F7CE82D" w14:textId="77777777" w:rsidR="00FF11D5" w:rsidRPr="009E0865" w:rsidRDefault="00FF11D5" w:rsidP="00E1410C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bookmarkStart w:id="1" w:name="_Hlk108690063"/>
      <w:r w:rsidRPr="009E0865">
        <w:rPr>
          <w:rFonts w:ascii="Arial" w:hAnsi="Arial" w:cs="Arial"/>
        </w:rPr>
        <w:t xml:space="preserve">La Croix Rouge Nigérienne </w:t>
      </w:r>
      <w:bookmarkEnd w:id="1"/>
      <w:r w:rsidRPr="009E0865">
        <w:rPr>
          <w:rFonts w:ascii="Arial" w:hAnsi="Arial" w:cs="Arial"/>
        </w:rPr>
        <w:t xml:space="preserve">lance un avis d’appel d’offre National dans le cadre </w:t>
      </w:r>
      <w:r>
        <w:rPr>
          <w:rFonts w:ascii="Arial" w:hAnsi="Arial" w:cs="Arial"/>
        </w:rPr>
        <w:t>d’amélioration des conditions de vie des populations des villages concernés.</w:t>
      </w:r>
    </w:p>
    <w:p w14:paraId="65E3C3B6" w14:textId="77777777" w:rsidR="00FF11D5" w:rsidRPr="009E0865" w:rsidRDefault="00FF11D5" w:rsidP="00E1410C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E0865">
        <w:rPr>
          <w:rFonts w:ascii="Arial" w:hAnsi="Arial" w:cs="Arial"/>
        </w:rPr>
        <w:t>Le présent appel d’offre est ouvert à tous les groupements d’entreprises ou entreprises remplissant les conditions ci-après définit dans le présent appel d’offre.</w:t>
      </w:r>
    </w:p>
    <w:p w14:paraId="6DD81440" w14:textId="77777777" w:rsidR="00FF11D5" w:rsidRPr="009E0865" w:rsidRDefault="00FF11D5" w:rsidP="00FF11D5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58DD41D" w14:textId="595AA49B" w:rsidR="00FF11D5" w:rsidRPr="009E0865" w:rsidRDefault="00FF11D5" w:rsidP="00FF11D5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9E0865">
        <w:rPr>
          <w:rFonts w:ascii="Arial" w:hAnsi="Arial" w:cs="Arial"/>
          <w:color w:val="auto"/>
          <w:sz w:val="22"/>
          <w:szCs w:val="22"/>
        </w:rPr>
        <w:t>Les candidats intéressés peuvent obtenir des informations et prendre connaissance des documents dudit Appel d’offres aux adresses mentionnées ci-après :</w:t>
      </w:r>
      <w:bookmarkStart w:id="2" w:name="_Hlk108690456"/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 Croix-Rouge Nigérienne, Siège Niamey, N°655 Rue NB 045, Quartier Terminus ; BP : 11386 Niamey-Niger ; Téléphone : (00227) 20 733 037 ; Fax : (00227) 20 </w:t>
      </w:r>
      <w:bookmarkEnd w:id="2"/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732 461 ; Email : </w:t>
      </w:r>
      <w:bookmarkStart w:id="3" w:name="_GoBack"/>
      <w:r w:rsidR="00E1410C" w:rsidRPr="00E1410C">
        <w:rPr>
          <w:rFonts w:ascii="Arial" w:hAnsi="Arial" w:cs="Arial"/>
          <w:color w:val="auto"/>
          <w:sz w:val="22"/>
          <w:szCs w:val="22"/>
        </w:rPr>
        <w:t>haphane.cisse@croix-rouge.lu</w:t>
      </w:r>
      <w:bookmarkEnd w:id="3"/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; Site web : </w:t>
      </w:r>
      <w:hyperlink r:id="rId6" w:history="1">
        <w:r w:rsidRPr="009E0865">
          <w:rPr>
            <w:rStyle w:val="Lienhypertexte"/>
            <w:rFonts w:ascii="Arial" w:hAnsi="Arial" w:cs="Arial"/>
            <w:b/>
            <w:i/>
            <w:color w:val="auto"/>
            <w:sz w:val="22"/>
            <w:szCs w:val="22"/>
          </w:rPr>
          <w:t>www.croix-rouge.ne</w:t>
        </w:r>
      </w:hyperlink>
    </w:p>
    <w:p w14:paraId="7D0F0F8F" w14:textId="77777777" w:rsidR="00FF11D5" w:rsidRPr="009E0865" w:rsidRDefault="00FF11D5" w:rsidP="00FF11D5">
      <w:pPr>
        <w:pStyle w:val="Default"/>
        <w:spacing w:line="276" w:lineRule="auto"/>
        <w:ind w:left="426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5D4D58A" w14:textId="77777777" w:rsidR="00FF11D5" w:rsidRPr="009E0865" w:rsidRDefault="00FF11D5" w:rsidP="00FF11D5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Les candidats intéressés peuvent consulter le dossier d’Appel d’Offre ou le retirer à titre onéreux contre le paiement d’une somme non remboursable de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Cent </w:t>
      </w:r>
      <w:r w:rsidRPr="003E07B1">
        <w:rPr>
          <w:rFonts w:ascii="Arial" w:hAnsi="Arial" w:cs="Arial"/>
          <w:b/>
          <w:i/>
          <w:color w:val="FF0000"/>
          <w:sz w:val="22"/>
          <w:szCs w:val="22"/>
        </w:rPr>
        <w:t>Mille Francs (</w:t>
      </w:r>
      <w:r>
        <w:rPr>
          <w:rFonts w:ascii="Arial" w:hAnsi="Arial" w:cs="Arial"/>
          <w:b/>
          <w:i/>
          <w:color w:val="FF0000"/>
          <w:sz w:val="22"/>
          <w:szCs w:val="22"/>
        </w:rPr>
        <w:t>10</w:t>
      </w:r>
      <w:r w:rsidRPr="003E07B1">
        <w:rPr>
          <w:rFonts w:ascii="Arial" w:hAnsi="Arial" w:cs="Arial"/>
          <w:b/>
          <w:i/>
          <w:color w:val="FF0000"/>
          <w:sz w:val="22"/>
          <w:szCs w:val="22"/>
        </w:rPr>
        <w:t xml:space="preserve">0.000) 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FCFA par </w:t>
      </w:r>
      <w:r w:rsidRPr="009E0865">
        <w:rPr>
          <w:rFonts w:ascii="Arial" w:hAnsi="Arial" w:cs="Arial"/>
          <w:color w:val="auto"/>
          <w:sz w:val="22"/>
          <w:szCs w:val="22"/>
        </w:rPr>
        <w:t>espèces ou par chèque certifié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 auprès du 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département de l’administration 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de la </w:t>
      </w:r>
      <w:r>
        <w:rPr>
          <w:rFonts w:ascii="Arial" w:hAnsi="Arial" w:cs="Arial"/>
          <w:b/>
          <w:i/>
          <w:color w:val="auto"/>
          <w:sz w:val="22"/>
          <w:szCs w:val="22"/>
        </w:rPr>
        <w:t>C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>roix</w:t>
      </w:r>
      <w:r>
        <w:rPr>
          <w:rFonts w:ascii="Arial" w:hAnsi="Arial" w:cs="Arial"/>
          <w:b/>
          <w:i/>
          <w:color w:val="auto"/>
          <w:sz w:val="22"/>
          <w:szCs w:val="22"/>
        </w:rPr>
        <w:t>-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>R</w:t>
      </w:r>
      <w:r>
        <w:rPr>
          <w:rFonts w:ascii="Arial" w:hAnsi="Arial" w:cs="Arial"/>
          <w:b/>
          <w:i/>
          <w:color w:val="auto"/>
          <w:sz w:val="22"/>
          <w:szCs w:val="22"/>
        </w:rPr>
        <w:t>o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>uge Nigérienne</w:t>
      </w:r>
      <w:r>
        <w:rPr>
          <w:rFonts w:ascii="Arial" w:hAnsi="Arial" w:cs="Arial"/>
          <w:b/>
          <w:i/>
          <w:color w:val="auto"/>
          <w:sz w:val="22"/>
          <w:szCs w:val="22"/>
        </w:rPr>
        <w:t>/Croix-Rouge Luxembourgeoise sise au 1</w:t>
      </w:r>
      <w:r w:rsidRPr="009E0865">
        <w:rPr>
          <w:rFonts w:ascii="Arial" w:hAnsi="Arial" w:cs="Arial"/>
          <w:b/>
          <w:i/>
          <w:color w:val="auto"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 étage.</w:t>
      </w:r>
    </w:p>
    <w:p w14:paraId="1110DAE3" w14:textId="77777777" w:rsidR="00FF11D5" w:rsidRPr="009E0865" w:rsidRDefault="00FF11D5" w:rsidP="00FF11D5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4EAA0271" w14:textId="02BFF765" w:rsidR="00FF11D5" w:rsidRPr="003E07B1" w:rsidRDefault="00FF11D5" w:rsidP="00FF11D5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9E0865">
        <w:rPr>
          <w:rFonts w:ascii="Arial" w:hAnsi="Arial" w:cs="Arial"/>
        </w:rPr>
        <w:t xml:space="preserve">Les groupements d’entreprises ou entreprises remplissant les conditions peuvent retirer le dossier de l’appel d’offre muni d’une clé USB neuve. La date d’ouverture de retrait du dossier est le </w:t>
      </w:r>
      <w:r>
        <w:rPr>
          <w:rFonts w:ascii="Arial" w:hAnsi="Arial" w:cs="Arial"/>
          <w:b/>
          <w:bCs/>
          <w:color w:val="FF0000"/>
          <w:u w:val="single"/>
        </w:rPr>
        <w:t>09 Février</w:t>
      </w:r>
      <w:r w:rsidRPr="00B658A9">
        <w:rPr>
          <w:rFonts w:ascii="Arial" w:hAnsi="Arial" w:cs="Arial"/>
          <w:b/>
          <w:bCs/>
          <w:color w:val="FF0000"/>
          <w:u w:val="single"/>
        </w:rPr>
        <w:t xml:space="preserve"> 2023 du Lundi au jeudi de 10h00 à 16h00 et le vendredi de 9h00 à 11h00.</w:t>
      </w:r>
    </w:p>
    <w:p w14:paraId="6B2C89EE" w14:textId="77777777" w:rsidR="00FF11D5" w:rsidRPr="009E0865" w:rsidRDefault="00FF11D5" w:rsidP="00FF11D5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u w:val="single"/>
        </w:rPr>
      </w:pPr>
    </w:p>
    <w:p w14:paraId="26B46A58" w14:textId="79B4FC15" w:rsidR="00FF11D5" w:rsidRPr="003E07B1" w:rsidRDefault="00FF11D5" w:rsidP="00FF11D5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FF0000"/>
        </w:rPr>
      </w:pPr>
      <w:r w:rsidRPr="009E0865">
        <w:rPr>
          <w:rFonts w:ascii="Arial" w:hAnsi="Arial" w:cs="Arial"/>
        </w:rPr>
        <w:t xml:space="preserve">La date limite de dépôt des offres est prévue pour le </w:t>
      </w:r>
      <w:r>
        <w:rPr>
          <w:rFonts w:ascii="Arial" w:hAnsi="Arial" w:cs="Arial"/>
          <w:b/>
          <w:bCs/>
          <w:color w:val="FF0000"/>
          <w:u w:val="single"/>
        </w:rPr>
        <w:t xml:space="preserve">02 Mars 2023 </w:t>
      </w:r>
      <w:r w:rsidRPr="003E07B1">
        <w:rPr>
          <w:rFonts w:ascii="Arial" w:hAnsi="Arial" w:cs="Arial"/>
          <w:b/>
          <w:color w:val="FF0000"/>
          <w:u w:val="single"/>
        </w:rPr>
        <w:t>à 12 heures 30 précises</w:t>
      </w:r>
      <w:r w:rsidRPr="003E07B1">
        <w:rPr>
          <w:rFonts w:ascii="Arial" w:hAnsi="Arial" w:cs="Arial"/>
          <w:color w:val="FF0000"/>
          <w:u w:val="single"/>
        </w:rPr>
        <w:t>.</w:t>
      </w:r>
      <w:r w:rsidRPr="003E07B1">
        <w:rPr>
          <w:rFonts w:ascii="Arial" w:hAnsi="Arial" w:cs="Arial"/>
          <w:color w:val="FF0000"/>
        </w:rPr>
        <w:t xml:space="preserve"> </w:t>
      </w:r>
    </w:p>
    <w:p w14:paraId="7260879C" w14:textId="77777777" w:rsidR="00FF11D5" w:rsidRPr="009E0865" w:rsidRDefault="00FF11D5" w:rsidP="00FF11D5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7C3F5D1C" w14:textId="77777777" w:rsidR="00FF11D5" w:rsidRPr="007A5549" w:rsidRDefault="00FF11D5" w:rsidP="00FF11D5">
      <w:pPr>
        <w:pStyle w:val="Default"/>
        <w:spacing w:line="276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865">
        <w:rPr>
          <w:rFonts w:ascii="Arial" w:eastAsiaTheme="majorEastAsia" w:hAnsi="Arial" w:cs="Arial"/>
          <w:color w:val="auto"/>
          <w:sz w:val="22"/>
          <w:szCs w:val="22"/>
          <w:lang w:val="fr-CH" w:eastAsia="en-US"/>
        </w:rPr>
        <w:t xml:space="preserve">Le dépôt des </w:t>
      </w:r>
      <w:r>
        <w:rPr>
          <w:rFonts w:ascii="Arial" w:eastAsiaTheme="majorEastAsia" w:hAnsi="Arial" w:cs="Arial"/>
          <w:color w:val="auto"/>
          <w:sz w:val="22"/>
          <w:szCs w:val="22"/>
          <w:lang w:val="fr-CH" w:eastAsia="en-US"/>
        </w:rPr>
        <w:t xml:space="preserve">offres </w:t>
      </w:r>
      <w:r w:rsidRPr="009E0865">
        <w:rPr>
          <w:rFonts w:ascii="Arial" w:eastAsiaTheme="majorEastAsia" w:hAnsi="Arial" w:cs="Arial"/>
          <w:color w:val="auto"/>
          <w:sz w:val="22"/>
          <w:szCs w:val="22"/>
          <w:lang w:val="fr-CH" w:eastAsia="en-US"/>
        </w:rPr>
        <w:t>physique</w:t>
      </w:r>
      <w:r>
        <w:rPr>
          <w:rFonts w:ascii="Arial" w:eastAsiaTheme="majorEastAsia" w:hAnsi="Arial" w:cs="Arial"/>
          <w:color w:val="auto"/>
          <w:sz w:val="22"/>
          <w:szCs w:val="22"/>
          <w:lang w:val="fr-CH" w:eastAsia="en-US"/>
        </w:rPr>
        <w:t>s se fera</w:t>
      </w:r>
      <w:r w:rsidRPr="009E0865">
        <w:rPr>
          <w:rFonts w:ascii="Arial" w:eastAsiaTheme="majorEastAsia" w:hAnsi="Arial" w:cs="Arial"/>
          <w:color w:val="auto"/>
          <w:sz w:val="22"/>
          <w:szCs w:val="22"/>
          <w:lang w:val="fr-CH" w:eastAsia="en-US"/>
        </w:rPr>
        <w:t xml:space="preserve"> à l’adresse ci-après</w:t>
      </w:r>
      <w:r w:rsidRPr="009E0865">
        <w:rPr>
          <w:rFonts w:ascii="Arial" w:hAnsi="Arial" w:cs="Arial"/>
          <w:sz w:val="22"/>
          <w:szCs w:val="22"/>
        </w:rPr>
        <w:t xml:space="preserve"> </w:t>
      </w:r>
      <w:bookmarkStart w:id="4" w:name="_Hlk108690599"/>
      <w:r w:rsidRPr="009E0865">
        <w:rPr>
          <w:rFonts w:ascii="Arial" w:eastAsiaTheme="majorEastAsia" w:hAnsi="Arial" w:cs="Arial"/>
          <w:color w:val="auto"/>
          <w:sz w:val="22"/>
          <w:szCs w:val="22"/>
          <w:lang w:val="fr-CH" w:eastAsia="en-US"/>
        </w:rPr>
        <w:t xml:space="preserve">Croix-Rouge Nigérienne, Siège Niamey, N°655 Rue NB 045, Quartier Terminus ; Téléphone : (00227) 20 733 037 </w:t>
      </w:r>
      <w:bookmarkEnd w:id="4"/>
      <w:r w:rsidRPr="009E0865">
        <w:rPr>
          <w:rFonts w:ascii="Arial" w:eastAsiaTheme="majorEastAsia" w:hAnsi="Arial" w:cs="Arial"/>
          <w:color w:val="auto"/>
          <w:sz w:val="22"/>
          <w:szCs w:val="22"/>
          <w:lang w:val="fr-CH" w:eastAsia="en-US"/>
        </w:rPr>
        <w:t>;</w:t>
      </w:r>
      <w:r>
        <w:rPr>
          <w:rFonts w:ascii="Arial" w:eastAsiaTheme="majorEastAsia" w:hAnsi="Arial" w:cs="Arial"/>
          <w:color w:val="auto"/>
          <w:sz w:val="22"/>
          <w:szCs w:val="22"/>
          <w:lang w:val="fr-CH" w:eastAsia="en-US"/>
        </w:rPr>
        <w:t xml:space="preserve"> 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auprès du 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département de l’administration 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 xml:space="preserve">de la </w:t>
      </w:r>
      <w:r>
        <w:rPr>
          <w:rFonts w:ascii="Arial" w:hAnsi="Arial" w:cs="Arial"/>
          <w:b/>
          <w:i/>
          <w:color w:val="auto"/>
          <w:sz w:val="22"/>
          <w:szCs w:val="22"/>
        </w:rPr>
        <w:t>C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>roix</w:t>
      </w:r>
      <w:r>
        <w:rPr>
          <w:rFonts w:ascii="Arial" w:hAnsi="Arial" w:cs="Arial"/>
          <w:b/>
          <w:i/>
          <w:color w:val="auto"/>
          <w:sz w:val="22"/>
          <w:szCs w:val="22"/>
        </w:rPr>
        <w:t>-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>R</w:t>
      </w:r>
      <w:r>
        <w:rPr>
          <w:rFonts w:ascii="Arial" w:hAnsi="Arial" w:cs="Arial"/>
          <w:b/>
          <w:i/>
          <w:color w:val="auto"/>
          <w:sz w:val="22"/>
          <w:szCs w:val="22"/>
        </w:rPr>
        <w:t>o</w:t>
      </w:r>
      <w:r w:rsidRPr="009E0865">
        <w:rPr>
          <w:rFonts w:ascii="Arial" w:hAnsi="Arial" w:cs="Arial"/>
          <w:b/>
          <w:i/>
          <w:color w:val="auto"/>
          <w:sz w:val="22"/>
          <w:szCs w:val="22"/>
        </w:rPr>
        <w:t>uge Nigérienne</w:t>
      </w:r>
      <w:r>
        <w:rPr>
          <w:rFonts w:ascii="Arial" w:hAnsi="Arial" w:cs="Arial"/>
          <w:b/>
          <w:i/>
          <w:color w:val="auto"/>
          <w:sz w:val="22"/>
          <w:szCs w:val="22"/>
        </w:rPr>
        <w:t>/Croix-Rouge Luxembourgeoise sise au 1</w:t>
      </w:r>
      <w:r w:rsidRPr="009E0865">
        <w:rPr>
          <w:rFonts w:ascii="Arial" w:hAnsi="Arial" w:cs="Arial"/>
          <w:b/>
          <w:i/>
          <w:color w:val="auto"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 étage</w:t>
      </w:r>
    </w:p>
    <w:p w14:paraId="25E3FBAD" w14:textId="2E3FF28E" w:rsidR="00FF11D5" w:rsidRDefault="00FF11D5" w:rsidP="00FF11D5">
      <w:pPr>
        <w:spacing w:after="0"/>
        <w:rPr>
          <w:rFonts w:ascii="Arial" w:hAnsi="Arial" w:cs="Arial"/>
          <w:b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3AE31B" w14:textId="1CD1D9F4" w:rsidR="00FF11D5" w:rsidRPr="007A5549" w:rsidRDefault="009A333A" w:rsidP="00B33869">
      <w:pPr>
        <w:spacing w:after="0"/>
        <w:rPr>
          <w:rFonts w:ascii="Arial" w:hAnsi="Arial" w:cs="Arial"/>
          <w:b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Niamey le 07 février 2023 </w:t>
      </w:r>
    </w:p>
    <w:p w14:paraId="0C2752B0" w14:textId="39A33165" w:rsidR="00FF11D5" w:rsidRPr="007A5549" w:rsidRDefault="00B33869" w:rsidP="00FF11D5">
      <w:pPr>
        <w:spacing w:after="0"/>
        <w:rPr>
          <w:rFonts w:ascii="Arial" w:hAnsi="Arial" w:cs="Arial"/>
          <w:b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549">
        <w:rPr>
          <w:rFonts w:ascii="Arial" w:eastAsia="Times New Roman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2E7389" wp14:editId="2DF39E20">
                <wp:simplePos x="0" y="0"/>
                <wp:positionH relativeFrom="margin">
                  <wp:posOffset>33655</wp:posOffset>
                </wp:positionH>
                <wp:positionV relativeFrom="paragraph">
                  <wp:posOffset>151130</wp:posOffset>
                </wp:positionV>
                <wp:extent cx="2867025" cy="1352550"/>
                <wp:effectExtent l="0" t="0" r="28575" b="19050"/>
                <wp:wrapSquare wrapText="bothSides"/>
                <wp:docPr id="1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88AA" w14:textId="77777777" w:rsidR="00FF11D5" w:rsidRDefault="00FF11D5" w:rsidP="00FF11D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3A3FE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23BBAA2" w14:textId="77777777" w:rsidR="009A333A" w:rsidRDefault="009A333A" w:rsidP="009A333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Le Chef de Mission de la Croix Rouge Luxembourgeoise </w:t>
                            </w:r>
                          </w:p>
                          <w:p w14:paraId="023D84DA" w14:textId="026B5F5A" w:rsidR="00FF11D5" w:rsidRDefault="00FF11D5" w:rsidP="00FF11D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F11D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Zombre, Prosper</w:t>
                            </w:r>
                          </w:p>
                          <w:p w14:paraId="0D1E555F" w14:textId="77777777" w:rsidR="00FF11D5" w:rsidRDefault="00FF11D5" w:rsidP="00FF11D5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BDDD80" w14:textId="77777777" w:rsidR="00FF11D5" w:rsidRDefault="00FF11D5" w:rsidP="00FF11D5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E76CFB" w14:textId="77777777" w:rsidR="00FF11D5" w:rsidRDefault="00FF11D5" w:rsidP="00FF1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2E738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.65pt;margin-top:11.9pt;width:225.7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" fillcolor="window" strokecolor="window">
                <v:textbox>
                  <w:txbxContent>
                    <w:p w14:paraId="308C88AA" w14:textId="77777777" w:rsidR="00FF11D5" w:rsidRDefault="00FF11D5" w:rsidP="00FF11D5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3A3FE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23BBAA2" w14:textId="77777777" w:rsidR="009A333A" w:rsidRDefault="009A333A" w:rsidP="009A333A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Le Chef de Mission de la Croix Rouge Luxembourgeoise </w:t>
                      </w:r>
                    </w:p>
                    <w:p w14:paraId="023D84DA" w14:textId="026B5F5A" w:rsidR="00FF11D5" w:rsidRDefault="00FF11D5" w:rsidP="00FF11D5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F11D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Zombre, Prosper</w:t>
                      </w:r>
                    </w:p>
                    <w:p w14:paraId="0D1E555F" w14:textId="77777777" w:rsidR="00FF11D5" w:rsidRDefault="00FF11D5" w:rsidP="00FF11D5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5FBDDD80" w14:textId="77777777" w:rsidR="00FF11D5" w:rsidRDefault="00FF11D5" w:rsidP="00FF11D5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11E76CFB" w14:textId="77777777" w:rsidR="00FF11D5" w:rsidRDefault="00FF11D5" w:rsidP="00FF11D5"/>
                  </w:txbxContent>
                </v:textbox>
                <w10:wrap type="square" anchorx="margin"/>
              </v:shape>
            </w:pict>
          </mc:Fallback>
        </mc:AlternateContent>
      </w:r>
    </w:p>
    <w:p w14:paraId="5B9BCF2D" w14:textId="0A4E9C12" w:rsidR="00FF11D5" w:rsidRPr="007A5549" w:rsidRDefault="00FF11D5" w:rsidP="00FF11D5">
      <w:pPr>
        <w:spacing w:after="0"/>
        <w:rPr>
          <w:rFonts w:ascii="Arial" w:hAnsi="Arial" w:cs="Arial"/>
          <w:b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67D5C1" w14:textId="352302E5" w:rsidR="00FF11D5" w:rsidRPr="007A5549" w:rsidRDefault="00FF11D5" w:rsidP="00FF11D5">
      <w:pPr>
        <w:spacing w:after="0"/>
        <w:rPr>
          <w:rFonts w:ascii="Arial" w:hAnsi="Arial" w:cs="Arial"/>
          <w:b/>
          <w:sz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549">
        <w:rPr>
          <w:rFonts w:ascii="Arial" w:eastAsia="Times New Roman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00FE0" wp14:editId="64171BE7">
                <wp:simplePos x="0" y="0"/>
                <wp:positionH relativeFrom="margin">
                  <wp:posOffset>3792220</wp:posOffset>
                </wp:positionH>
                <wp:positionV relativeFrom="paragraph">
                  <wp:posOffset>61595</wp:posOffset>
                </wp:positionV>
                <wp:extent cx="2225675" cy="849630"/>
                <wp:effectExtent l="0" t="0" r="22225" b="2667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849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8825" w14:textId="77777777" w:rsidR="00FF11D5" w:rsidRDefault="00FF11D5" w:rsidP="00FF11D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3A3FE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EDCFFB" w14:textId="77777777" w:rsidR="00FF11D5" w:rsidRDefault="00FF11D5" w:rsidP="00FF11D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Le Président de la CRN </w:t>
                            </w:r>
                          </w:p>
                          <w:p w14:paraId="77509BA2" w14:textId="77777777" w:rsidR="00FF11D5" w:rsidRDefault="00FF11D5" w:rsidP="00FF11D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Bandiaré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ALI </w:t>
                            </w:r>
                          </w:p>
                          <w:p w14:paraId="6A6F92AE" w14:textId="77777777" w:rsidR="00FF11D5" w:rsidRDefault="00FF11D5" w:rsidP="00FF11D5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5B0EBA" w14:textId="77777777" w:rsidR="00FF11D5" w:rsidRDefault="00FF11D5" w:rsidP="00FF11D5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50D688" w14:textId="77777777" w:rsidR="00FF11D5" w:rsidRDefault="00FF11D5" w:rsidP="00FF11D5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42D488" w14:textId="77777777" w:rsidR="00FF11D5" w:rsidRDefault="00FF11D5" w:rsidP="00FF1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00FE0" id="_x0000_s1027" type="#_x0000_t202" style="position:absolute;margin-left:298.6pt;margin-top:4.85pt;width:175.25pt;height:6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" fillcolor="window" strokecolor="window">
                <v:textbox>
                  <w:txbxContent>
                    <w:p w14:paraId="3CC28825" w14:textId="77777777" w:rsidR="00FF11D5" w:rsidRDefault="00FF11D5" w:rsidP="00FF11D5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3A3FE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EDCFFB" w14:textId="77777777" w:rsidR="00FF11D5" w:rsidRDefault="00FF11D5" w:rsidP="00FF11D5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Le Président de la CRN </w:t>
                      </w:r>
                    </w:p>
                    <w:p w14:paraId="77509BA2" w14:textId="77777777" w:rsidR="00FF11D5" w:rsidRDefault="00FF11D5" w:rsidP="00FF11D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Bandiaré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ALI </w:t>
                      </w:r>
                    </w:p>
                    <w:p w14:paraId="6A6F92AE" w14:textId="77777777" w:rsidR="00FF11D5" w:rsidRDefault="00FF11D5" w:rsidP="00FF11D5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555B0EBA" w14:textId="77777777" w:rsidR="00FF11D5" w:rsidRDefault="00FF11D5" w:rsidP="00FF11D5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2150D688" w14:textId="77777777" w:rsidR="00FF11D5" w:rsidRDefault="00FF11D5" w:rsidP="00FF11D5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3542D488" w14:textId="77777777" w:rsidR="00FF11D5" w:rsidRDefault="00FF11D5" w:rsidP="00FF11D5"/>
                  </w:txbxContent>
                </v:textbox>
                <w10:wrap type="square" anchorx="margin"/>
              </v:shape>
            </w:pict>
          </mc:Fallback>
        </mc:AlternateContent>
      </w:r>
    </w:p>
    <w:p w14:paraId="6690A81E" w14:textId="77777777" w:rsidR="00314116" w:rsidRPr="00FF11D5" w:rsidRDefault="00314116">
      <w:pPr>
        <w:rPr>
          <w:lang w:val="fr-FR"/>
        </w:rPr>
      </w:pPr>
    </w:p>
    <w:sectPr w:rsidR="00314116" w:rsidRPr="00FF11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C2239" w14:textId="77777777" w:rsidR="00BC7A13" w:rsidRDefault="00BC7A13" w:rsidP="00B33869">
      <w:pPr>
        <w:spacing w:after="0"/>
      </w:pPr>
      <w:r>
        <w:separator/>
      </w:r>
    </w:p>
  </w:endnote>
  <w:endnote w:type="continuationSeparator" w:id="0">
    <w:p w14:paraId="180B0D73" w14:textId="77777777" w:rsidR="00BC7A13" w:rsidRDefault="00BC7A13" w:rsidP="00B338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71801" w14:textId="77777777" w:rsidR="00BC7A13" w:rsidRDefault="00BC7A13" w:rsidP="00B33869">
      <w:pPr>
        <w:spacing w:after="0"/>
      </w:pPr>
      <w:r>
        <w:separator/>
      </w:r>
    </w:p>
  </w:footnote>
  <w:footnote w:type="continuationSeparator" w:id="0">
    <w:p w14:paraId="3B26E361" w14:textId="77777777" w:rsidR="00BC7A13" w:rsidRDefault="00BC7A13" w:rsidP="00B338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5362" w14:textId="024E13FF" w:rsidR="00B33869" w:rsidRDefault="00B338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2D67993" wp14:editId="2BAD3D60">
          <wp:simplePos x="0" y="0"/>
          <wp:positionH relativeFrom="column">
            <wp:posOffset>4481830</wp:posOffset>
          </wp:positionH>
          <wp:positionV relativeFrom="paragraph">
            <wp:posOffset>7620</wp:posOffset>
          </wp:positionV>
          <wp:extent cx="1719580" cy="800100"/>
          <wp:effectExtent l="0" t="0" r="0" b="0"/>
          <wp:wrapSquare wrapText="bothSides"/>
          <wp:docPr id="2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inline distT="0" distB="0" distL="0" distR="0" wp14:anchorId="7551A65E" wp14:editId="5868560A">
          <wp:extent cx="1123950" cy="850900"/>
          <wp:effectExtent l="0" t="0" r="0" b="6350"/>
          <wp:docPr id="4" name="Image 3" descr="Une image contenant texte, trousse de secours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Une image contenant texte, trousse de secours, clipart&#10;&#10;Description générée automatiquemen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5"/>
    <w:rsid w:val="00314116"/>
    <w:rsid w:val="00730FBF"/>
    <w:rsid w:val="009A333A"/>
    <w:rsid w:val="00B33869"/>
    <w:rsid w:val="00BC7A13"/>
    <w:rsid w:val="00C0654C"/>
    <w:rsid w:val="00CE24A3"/>
    <w:rsid w:val="00E1410C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C201"/>
  <w15:chartTrackingRefBased/>
  <w15:docId w15:val="{856225FE-0922-4CF2-AB38-CBCDB57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D5"/>
    <w:pPr>
      <w:spacing w:after="200" w:line="240" w:lineRule="auto"/>
    </w:pPr>
    <w:rPr>
      <w:rFonts w:asciiTheme="majorHAnsi" w:eastAsiaTheme="majorEastAsia" w:hAnsiTheme="majorHAnsi" w:cstheme="majorBidi"/>
      <w:lang w:val="fr-CH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FF11D5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ascii="Times New Roman" w:eastAsia="Times New Roman" w:hAnsi="Times New Roman" w:cs="Arial"/>
      <w:b/>
      <w:sz w:val="3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FF11D5"/>
    <w:rPr>
      <w:rFonts w:ascii="Times New Roman" w:eastAsia="Times New Roman" w:hAnsi="Times New Roman" w:cs="Arial"/>
      <w:b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rsid w:val="00FF11D5"/>
    <w:rPr>
      <w:color w:val="0000FF"/>
      <w:u w:val="single"/>
    </w:rPr>
  </w:style>
  <w:style w:type="paragraph" w:customStyle="1" w:styleId="Default">
    <w:name w:val="Default"/>
    <w:rsid w:val="00FF11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38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33869"/>
    <w:rPr>
      <w:rFonts w:asciiTheme="majorHAnsi" w:eastAsiaTheme="majorEastAsia" w:hAnsiTheme="majorHAnsi" w:cstheme="majorBidi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B338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33869"/>
    <w:rPr>
      <w:rFonts w:asciiTheme="majorHAnsi" w:eastAsiaTheme="majorEastAsia" w:hAnsiTheme="majorHAnsi" w:cstheme="majorBid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ix-rouge.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Adamou Halidou Saley</dc:creator>
  <cp:keywords/>
  <dc:description/>
  <cp:lastModifiedBy>HP</cp:lastModifiedBy>
  <cp:revision>2</cp:revision>
  <cp:lastPrinted>2023-02-07T11:40:00Z</cp:lastPrinted>
  <dcterms:created xsi:type="dcterms:W3CDTF">2023-02-09T15:40:00Z</dcterms:created>
  <dcterms:modified xsi:type="dcterms:W3CDTF">2023-02-09T15:40:00Z</dcterms:modified>
</cp:coreProperties>
</file>