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9C" w:rsidRPr="00B6789C" w:rsidRDefault="00B6789C" w:rsidP="00B6789C">
      <w:pPr>
        <w:jc w:val="both"/>
        <w:rPr>
          <w:rFonts w:ascii="Arial Black" w:hAnsi="Arial Black"/>
          <w:b/>
          <w:sz w:val="26"/>
          <w:szCs w:val="26"/>
          <w:u w:val="single"/>
          <w:lang w:val="fr-FR"/>
        </w:rPr>
      </w:pPr>
      <w:bookmarkStart w:id="0" w:name="_GoBack"/>
      <w:bookmarkEnd w:id="0"/>
      <w:r w:rsidRPr="00B6789C">
        <w:rPr>
          <w:rFonts w:ascii="Arial Black" w:hAnsi="Arial Black"/>
          <w:b/>
          <w:bCs/>
          <w:lang w:val="fr-FR"/>
        </w:rPr>
        <w:t>REPUBLIQUE DU NIGER</w:t>
      </w:r>
      <w:r w:rsidRPr="00B6789C">
        <w:rPr>
          <w:b/>
          <w:lang w:val="fr-FR"/>
        </w:rPr>
        <w:tab/>
      </w:r>
      <w:r w:rsidRPr="00B6789C">
        <w:rPr>
          <w:b/>
          <w:lang w:val="fr-FR"/>
        </w:rPr>
        <w:tab/>
      </w:r>
      <w:r w:rsidRPr="00B6789C">
        <w:rPr>
          <w:b/>
          <w:lang w:val="fr-FR"/>
        </w:rPr>
        <w:tab/>
      </w:r>
      <w:r w:rsidRPr="00B6789C">
        <w:rPr>
          <w:b/>
          <w:lang w:val="fr-FR"/>
        </w:rPr>
        <w:tab/>
      </w:r>
      <w:r w:rsidRPr="00B6789C">
        <w:rPr>
          <w:caps/>
          <w:lang w:val="fr-FR"/>
        </w:rPr>
        <w:t xml:space="preserve">Loi n° </w:t>
      </w:r>
      <w:r w:rsidRPr="00B6789C">
        <w:rPr>
          <w:rFonts w:ascii="Arial Black" w:hAnsi="Arial Black"/>
          <w:b/>
          <w:caps/>
          <w:sz w:val="26"/>
          <w:szCs w:val="26"/>
          <w:u w:val="single"/>
          <w:lang w:val="fr-FR"/>
        </w:rPr>
        <w:t>2018-3</w:t>
      </w:r>
      <w:r>
        <w:rPr>
          <w:rFonts w:ascii="Arial Black" w:hAnsi="Arial Black"/>
          <w:b/>
          <w:caps/>
          <w:sz w:val="26"/>
          <w:szCs w:val="26"/>
          <w:u w:val="single"/>
          <w:lang w:val="fr-FR"/>
        </w:rPr>
        <w:t>9</w:t>
      </w:r>
    </w:p>
    <w:p w:rsidR="00B6789C" w:rsidRPr="00B6789C" w:rsidRDefault="00B6789C" w:rsidP="00B6789C">
      <w:pPr>
        <w:jc w:val="both"/>
        <w:rPr>
          <w:b/>
          <w:i/>
          <w:lang w:val="fr-FR"/>
        </w:rPr>
      </w:pPr>
      <w:r w:rsidRPr="00B6789C">
        <w:rPr>
          <w:lang w:val="fr-FR"/>
        </w:rPr>
        <w:tab/>
      </w:r>
      <w:r w:rsidRPr="00B6789C">
        <w:rPr>
          <w:b/>
          <w:i/>
          <w:lang w:val="fr-FR"/>
        </w:rPr>
        <w:t>--------------------</w:t>
      </w:r>
      <w:r>
        <w:rPr>
          <w:b/>
          <w:i/>
          <w:lang w:val="fr-FR"/>
        </w:rPr>
        <w:t>-</w:t>
      </w:r>
    </w:p>
    <w:p w:rsidR="00B6789C" w:rsidRPr="00B6789C" w:rsidRDefault="00B6789C" w:rsidP="00B6789C">
      <w:pPr>
        <w:jc w:val="both"/>
        <w:rPr>
          <w:b/>
          <w:sz w:val="26"/>
          <w:szCs w:val="26"/>
          <w:lang w:val="fr-FR"/>
        </w:rPr>
      </w:pPr>
      <w:r w:rsidRPr="00B6789C">
        <w:rPr>
          <w:b/>
          <w:lang w:val="fr-FR"/>
        </w:rPr>
        <w:t xml:space="preserve">  </w:t>
      </w:r>
      <w:r w:rsidRPr="00B6789C">
        <w:rPr>
          <w:b/>
          <w:i/>
          <w:iCs/>
          <w:sz w:val="26"/>
          <w:szCs w:val="26"/>
          <w:lang w:val="fr-FR"/>
        </w:rPr>
        <w:t>Fraternité-Travail-Progrès</w:t>
      </w:r>
      <w:r w:rsidRPr="00B6789C">
        <w:rPr>
          <w:b/>
          <w:i/>
          <w:iCs/>
          <w:sz w:val="26"/>
          <w:szCs w:val="26"/>
          <w:lang w:val="fr-FR"/>
        </w:rPr>
        <w:tab/>
      </w:r>
    </w:p>
    <w:p w:rsidR="00B6789C" w:rsidRPr="00B6789C" w:rsidRDefault="00B6789C" w:rsidP="00B6789C">
      <w:pPr>
        <w:jc w:val="both"/>
        <w:rPr>
          <w:b/>
          <w:i/>
          <w:sz w:val="26"/>
          <w:szCs w:val="26"/>
          <w:lang w:val="fr-FR"/>
        </w:rPr>
      </w:pPr>
    </w:p>
    <w:p w:rsidR="00B6789C" w:rsidRPr="00516164" w:rsidRDefault="00B6789C" w:rsidP="00B6789C">
      <w:pPr>
        <w:rPr>
          <w:sz w:val="26"/>
          <w:szCs w:val="26"/>
          <w:lang w:val="fr-FR"/>
        </w:rPr>
      </w:pPr>
      <w:r w:rsidRPr="00B6789C">
        <w:rPr>
          <w:lang w:val="fr-FR"/>
        </w:rPr>
        <w:tab/>
      </w:r>
      <w:r w:rsidRPr="00B6789C">
        <w:rPr>
          <w:lang w:val="fr-FR"/>
        </w:rPr>
        <w:tab/>
      </w:r>
      <w:r w:rsidRPr="00B6789C">
        <w:rPr>
          <w:lang w:val="fr-FR"/>
        </w:rPr>
        <w:tab/>
      </w:r>
      <w:r w:rsidRPr="00B6789C">
        <w:rPr>
          <w:lang w:val="fr-FR"/>
        </w:rPr>
        <w:tab/>
      </w:r>
      <w:r w:rsidRPr="00B6789C">
        <w:rPr>
          <w:lang w:val="fr-FR"/>
        </w:rPr>
        <w:tab/>
      </w:r>
      <w:r w:rsidRPr="00B6789C">
        <w:rPr>
          <w:i/>
          <w:lang w:val="fr-FR"/>
        </w:rPr>
        <w:tab/>
      </w:r>
      <w:r w:rsidRPr="00B6789C">
        <w:rPr>
          <w:i/>
          <w:lang w:val="fr-FR"/>
        </w:rPr>
        <w:tab/>
      </w:r>
      <w:r w:rsidRPr="00B6789C">
        <w:rPr>
          <w:i/>
          <w:lang w:val="fr-FR"/>
        </w:rPr>
        <w:tab/>
      </w:r>
      <w:proofErr w:type="gramStart"/>
      <w:r w:rsidRPr="00516164">
        <w:rPr>
          <w:sz w:val="26"/>
          <w:szCs w:val="26"/>
          <w:lang w:val="fr-FR"/>
        </w:rPr>
        <w:t>du</w:t>
      </w:r>
      <w:proofErr w:type="gramEnd"/>
      <w:r w:rsidRPr="00516164">
        <w:rPr>
          <w:sz w:val="26"/>
          <w:szCs w:val="26"/>
          <w:lang w:val="fr-FR"/>
        </w:rPr>
        <w:t xml:space="preserve"> 05 juin 2018</w:t>
      </w:r>
    </w:p>
    <w:p w:rsidR="00CC7F2D" w:rsidRPr="00DB7C05" w:rsidRDefault="00CC7F2D" w:rsidP="00B6789C">
      <w:pPr>
        <w:pStyle w:val="CorpsA"/>
        <w:widowControl w:val="0"/>
        <w:jc w:val="both"/>
        <w:rPr>
          <w:rFonts w:ascii="Times New Roman" w:hAnsi="Times New Roman" w:cs="Times New Roman"/>
          <w:lang w:val="it-IT"/>
        </w:rPr>
      </w:pPr>
    </w:p>
    <w:p w:rsidR="00DB7C05" w:rsidRDefault="00DB7C05" w:rsidP="00DB7C05">
      <w:pPr>
        <w:pStyle w:val="CorpsA"/>
        <w:widowControl w:val="0"/>
        <w:jc w:val="both"/>
        <w:rPr>
          <w:rFonts w:ascii="Times New Roman" w:hAnsi="Times New Roman" w:cs="Times New Roman"/>
          <w:lang w:val="it-IT"/>
        </w:rPr>
      </w:pPr>
    </w:p>
    <w:p w:rsidR="00646DD3" w:rsidRPr="00516164" w:rsidRDefault="00DD0561" w:rsidP="00516164">
      <w:pPr>
        <w:pStyle w:val="CorpsA"/>
        <w:widowControl w:val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516164">
        <w:rPr>
          <w:rFonts w:ascii="Times New Roman" w:hAnsi="Times New Roman" w:cs="Times New Roman"/>
          <w:sz w:val="26"/>
          <w:szCs w:val="26"/>
          <w:lang w:val="it-IT"/>
        </w:rPr>
        <w:t>m</w:t>
      </w:r>
      <w:r w:rsidR="00646DD3" w:rsidRPr="00516164">
        <w:rPr>
          <w:rFonts w:ascii="Times New Roman" w:hAnsi="Times New Roman" w:cs="Times New Roman"/>
          <w:sz w:val="26"/>
          <w:szCs w:val="26"/>
          <w:lang w:val="it-IT"/>
        </w:rPr>
        <w:t>odifi</w:t>
      </w:r>
      <w:r w:rsidR="00DB7C05" w:rsidRPr="00516164">
        <w:rPr>
          <w:rFonts w:ascii="Times New Roman" w:hAnsi="Times New Roman" w:cs="Times New Roman"/>
          <w:sz w:val="26"/>
          <w:szCs w:val="26"/>
          <w:lang w:val="it-IT"/>
        </w:rPr>
        <w:t xml:space="preserve">ant </w:t>
      </w:r>
      <w:r w:rsidR="00646DD3" w:rsidRPr="00516164">
        <w:rPr>
          <w:rFonts w:ascii="Times New Roman" w:hAnsi="Times New Roman" w:cs="Times New Roman"/>
          <w:sz w:val="26"/>
          <w:szCs w:val="26"/>
        </w:rPr>
        <w:t xml:space="preserve">et complétant la </w:t>
      </w:r>
      <w:r w:rsidR="00DB7C05" w:rsidRPr="00516164">
        <w:rPr>
          <w:rFonts w:ascii="Times New Roman" w:hAnsi="Times New Roman" w:cs="Times New Roman"/>
          <w:sz w:val="26"/>
          <w:szCs w:val="26"/>
        </w:rPr>
        <w:t>l</w:t>
      </w:r>
      <w:r w:rsidR="00646DD3" w:rsidRPr="00516164">
        <w:rPr>
          <w:rFonts w:ascii="Times New Roman" w:hAnsi="Times New Roman" w:cs="Times New Roman"/>
          <w:sz w:val="26"/>
          <w:szCs w:val="26"/>
        </w:rPr>
        <w:t>oi n°</w:t>
      </w:r>
      <w:r w:rsidR="00DB7C05" w:rsidRPr="00516164">
        <w:rPr>
          <w:rFonts w:ascii="Times New Roman" w:hAnsi="Times New Roman" w:cs="Times New Roman"/>
          <w:sz w:val="26"/>
          <w:szCs w:val="26"/>
        </w:rPr>
        <w:t xml:space="preserve"> </w:t>
      </w:r>
      <w:r w:rsidR="00646DD3" w:rsidRPr="00516164">
        <w:rPr>
          <w:rFonts w:ascii="Times New Roman" w:hAnsi="Times New Roman" w:cs="Times New Roman"/>
          <w:sz w:val="26"/>
          <w:szCs w:val="26"/>
        </w:rPr>
        <w:t>2014-09 du 16 avril 2014, p</w:t>
      </w:r>
      <w:r w:rsidR="00CC7F2D" w:rsidRPr="00516164">
        <w:rPr>
          <w:rFonts w:ascii="Times New Roman" w:hAnsi="Times New Roman" w:cs="Times New Roman"/>
          <w:sz w:val="26"/>
          <w:szCs w:val="26"/>
        </w:rPr>
        <w:t>ortant Code des Investissements</w:t>
      </w:r>
      <w:r w:rsidR="00DB7C05" w:rsidRPr="00516164">
        <w:rPr>
          <w:rFonts w:ascii="Times New Roman" w:hAnsi="Times New Roman" w:cs="Times New Roman"/>
          <w:sz w:val="26"/>
          <w:szCs w:val="26"/>
        </w:rPr>
        <w:t xml:space="preserve"> en République </w:t>
      </w:r>
      <w:r w:rsidR="00646DD3" w:rsidRPr="00516164">
        <w:rPr>
          <w:rFonts w:ascii="Times New Roman" w:hAnsi="Times New Roman" w:cs="Times New Roman"/>
          <w:sz w:val="26"/>
          <w:szCs w:val="26"/>
        </w:rPr>
        <w:t>du Niger.</w:t>
      </w:r>
    </w:p>
    <w:p w:rsidR="00646DD3" w:rsidRPr="00DB7C05" w:rsidRDefault="00646DD3" w:rsidP="00516164">
      <w:pPr>
        <w:pStyle w:val="CorpsA"/>
        <w:spacing w:line="360" w:lineRule="auto"/>
        <w:rPr>
          <w:rFonts w:ascii="Times New Roman" w:eastAsia="Arial" w:hAnsi="Times New Roman" w:cs="Times New Roman"/>
          <w:b/>
          <w:bCs/>
          <w:u w:val="single"/>
        </w:rPr>
      </w:pPr>
    </w:p>
    <w:p w:rsidR="00646DD3" w:rsidRPr="00516164" w:rsidRDefault="00646DD3" w:rsidP="00516164">
      <w:pPr>
        <w:pStyle w:val="CorpsA"/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46DD3" w:rsidRPr="00516164" w:rsidRDefault="00B6789C" w:rsidP="00516164">
      <w:pPr>
        <w:pStyle w:val="CorpsA"/>
        <w:jc w:val="both"/>
        <w:rPr>
          <w:rFonts w:ascii="Times New Roman" w:hAnsi="Times New Roman" w:cs="Times New Roman"/>
          <w:sz w:val="26"/>
          <w:szCs w:val="26"/>
        </w:rPr>
      </w:pPr>
      <w:r w:rsidRPr="00516164">
        <w:rPr>
          <w:rFonts w:ascii="Times New Roman" w:hAnsi="Times New Roman" w:cs="Times New Roman"/>
          <w:bCs/>
          <w:sz w:val="26"/>
          <w:szCs w:val="26"/>
        </w:rPr>
        <w:t>Vu</w:t>
      </w:r>
      <w:r w:rsidR="00646DD3" w:rsidRPr="00516164">
        <w:rPr>
          <w:rFonts w:ascii="Times New Roman" w:hAnsi="Times New Roman" w:cs="Times New Roman"/>
          <w:sz w:val="26"/>
          <w:szCs w:val="26"/>
        </w:rPr>
        <w:tab/>
        <w:t xml:space="preserve">la Constitution du 25 novembre </w:t>
      </w:r>
      <w:r w:rsidR="00D067B9" w:rsidRPr="00516164">
        <w:rPr>
          <w:rFonts w:ascii="Times New Roman" w:hAnsi="Times New Roman" w:cs="Times New Roman"/>
          <w:sz w:val="26"/>
          <w:szCs w:val="26"/>
        </w:rPr>
        <w:t>2010 ;</w:t>
      </w:r>
    </w:p>
    <w:p w:rsidR="00516164" w:rsidRDefault="00516164" w:rsidP="00516164">
      <w:pPr>
        <w:pStyle w:val="CorpsA"/>
        <w:widowControl w:val="0"/>
        <w:ind w:left="705" w:hanging="70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DD3" w:rsidRPr="00516164" w:rsidRDefault="00646DD3" w:rsidP="00516164">
      <w:pPr>
        <w:pStyle w:val="CorpsA"/>
        <w:widowControl w:val="0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516164">
        <w:rPr>
          <w:rFonts w:ascii="Times New Roman" w:hAnsi="Times New Roman" w:cs="Times New Roman"/>
          <w:bCs/>
          <w:sz w:val="26"/>
          <w:szCs w:val="26"/>
        </w:rPr>
        <w:t>Vu</w:t>
      </w:r>
      <w:r w:rsidRPr="00516164">
        <w:rPr>
          <w:rFonts w:ascii="Times New Roman" w:hAnsi="Times New Roman" w:cs="Times New Roman"/>
          <w:sz w:val="26"/>
          <w:szCs w:val="26"/>
        </w:rPr>
        <w:tab/>
        <w:t>la loi n°</w:t>
      </w:r>
      <w:r w:rsidR="001E5614" w:rsidRPr="00516164">
        <w:rPr>
          <w:rFonts w:ascii="Times New Roman" w:hAnsi="Times New Roman" w:cs="Times New Roman"/>
          <w:sz w:val="26"/>
          <w:szCs w:val="26"/>
        </w:rPr>
        <w:t xml:space="preserve"> </w:t>
      </w:r>
      <w:r w:rsidRPr="00516164">
        <w:rPr>
          <w:rFonts w:ascii="Times New Roman" w:hAnsi="Times New Roman" w:cs="Times New Roman"/>
          <w:sz w:val="26"/>
          <w:szCs w:val="26"/>
        </w:rPr>
        <w:t>2014-09 du 16 avril 2014, portant Code des investissements en République du Niger, modifiée et complétée par la loi n°</w:t>
      </w:r>
      <w:r w:rsidR="001E5614" w:rsidRPr="00516164">
        <w:rPr>
          <w:rFonts w:ascii="Times New Roman" w:hAnsi="Times New Roman" w:cs="Times New Roman"/>
          <w:sz w:val="26"/>
          <w:szCs w:val="26"/>
        </w:rPr>
        <w:t xml:space="preserve"> </w:t>
      </w:r>
      <w:r w:rsidRPr="00516164">
        <w:rPr>
          <w:rFonts w:ascii="Times New Roman" w:hAnsi="Times New Roman" w:cs="Times New Roman"/>
          <w:sz w:val="26"/>
          <w:szCs w:val="26"/>
        </w:rPr>
        <w:t xml:space="preserve">2017-79 du </w:t>
      </w:r>
      <w:r w:rsidR="00516164">
        <w:rPr>
          <w:rFonts w:ascii="Times New Roman" w:hAnsi="Times New Roman" w:cs="Times New Roman"/>
          <w:sz w:val="26"/>
          <w:szCs w:val="26"/>
        </w:rPr>
        <w:br/>
      </w:r>
      <w:r w:rsidRPr="00516164">
        <w:rPr>
          <w:rFonts w:ascii="Times New Roman" w:hAnsi="Times New Roman" w:cs="Times New Roman"/>
          <w:sz w:val="26"/>
          <w:szCs w:val="26"/>
        </w:rPr>
        <w:t>15 novembre 2017 ;</w:t>
      </w:r>
    </w:p>
    <w:p w:rsidR="00646DD3" w:rsidRPr="00DB7C05" w:rsidRDefault="00646DD3" w:rsidP="00551EBE">
      <w:pPr>
        <w:pStyle w:val="CorpsA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16164" w:rsidRPr="00516164" w:rsidRDefault="007039CE" w:rsidP="00516164">
      <w:pPr>
        <w:rPr>
          <w:lang w:val="fr-FR"/>
        </w:rPr>
      </w:pPr>
      <w:r>
        <w:rPr>
          <w:lang w:val="fr-FR"/>
        </w:rPr>
        <w:t xml:space="preserve"> </w:t>
      </w:r>
      <w:r w:rsidR="006B50AC">
        <w:rPr>
          <w:lang w:val="fr-FR"/>
        </w:rPr>
        <w:t xml:space="preserve"> </w:t>
      </w:r>
      <w:r w:rsidR="0067410E">
        <w:rPr>
          <w:lang w:val="fr-FR"/>
        </w:rPr>
        <w:t xml:space="preserve"> </w:t>
      </w:r>
    </w:p>
    <w:p w:rsidR="00516164" w:rsidRPr="00516164" w:rsidRDefault="00516164" w:rsidP="00516164">
      <w:pPr>
        <w:jc w:val="center"/>
        <w:rPr>
          <w:b/>
          <w:lang w:val="fr-FR"/>
        </w:rPr>
      </w:pPr>
      <w:r w:rsidRPr="00516164">
        <w:rPr>
          <w:b/>
          <w:lang w:val="fr-FR"/>
        </w:rPr>
        <w:t>LE CONSEIL DES MINISTRES ENTENDU,</w:t>
      </w:r>
    </w:p>
    <w:p w:rsidR="00516164" w:rsidRPr="00516164" w:rsidRDefault="00516164" w:rsidP="00516164">
      <w:pPr>
        <w:jc w:val="center"/>
        <w:rPr>
          <w:b/>
          <w:lang w:val="fr-FR"/>
        </w:rPr>
      </w:pPr>
      <w:r w:rsidRPr="00516164">
        <w:rPr>
          <w:b/>
          <w:lang w:val="fr-FR"/>
        </w:rPr>
        <w:t>L’ASSEMBLEE NATIONALE A DELIBERE ET ADOPTE,</w:t>
      </w:r>
    </w:p>
    <w:p w:rsidR="00516164" w:rsidRPr="00516164" w:rsidRDefault="00516164" w:rsidP="00516164">
      <w:pPr>
        <w:jc w:val="center"/>
        <w:rPr>
          <w:b/>
          <w:lang w:val="fr-FR"/>
        </w:rPr>
      </w:pPr>
      <w:r w:rsidRPr="00516164">
        <w:rPr>
          <w:b/>
          <w:lang w:val="fr-FR"/>
        </w:rPr>
        <w:t xml:space="preserve">LE PRESIDENT DE LA REPUBLIQUE PROMULGUE LA LOI </w:t>
      </w:r>
    </w:p>
    <w:p w:rsidR="00516164" w:rsidRPr="002E6170" w:rsidRDefault="00516164" w:rsidP="00516164">
      <w:pPr>
        <w:jc w:val="center"/>
        <w:rPr>
          <w:b/>
          <w:lang w:val="fr-FR"/>
        </w:rPr>
      </w:pPr>
      <w:r w:rsidRPr="002E6170">
        <w:rPr>
          <w:b/>
          <w:lang w:val="fr-FR"/>
        </w:rPr>
        <w:t>DONT LA TENEUR SUIT :</w:t>
      </w:r>
    </w:p>
    <w:p w:rsidR="0096631A" w:rsidRPr="00DB7C05" w:rsidRDefault="0096631A" w:rsidP="00551EBE">
      <w:pPr>
        <w:pStyle w:val="CorpsA"/>
        <w:widowControl w:val="0"/>
        <w:spacing w:line="360" w:lineRule="auto"/>
        <w:contextualSpacing/>
        <w:rPr>
          <w:rFonts w:ascii="Times New Roman" w:eastAsia="Times New Roman" w:hAnsi="Times New Roman" w:cs="Times New Roman"/>
        </w:rPr>
      </w:pPr>
    </w:p>
    <w:p w:rsidR="00646DD3" w:rsidRPr="008E7C9A" w:rsidRDefault="00646DD3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sz w:val="26"/>
          <w:szCs w:val="26"/>
          <w:u w:val="single"/>
        </w:rPr>
        <w:t>Article premier</w:t>
      </w:r>
      <w:r w:rsidR="00C0433B" w:rsidRPr="008E7C9A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r w:rsidR="00C0433B" w:rsidRPr="008E7C9A">
        <w:rPr>
          <w:rFonts w:ascii="Times New Roman" w:hAnsi="Times New Roman" w:cs="Times New Roman"/>
          <w:sz w:val="26"/>
          <w:szCs w:val="26"/>
        </w:rPr>
        <w:t xml:space="preserve"> Les</w:t>
      </w:r>
      <w:r w:rsidRPr="008E7C9A">
        <w:rPr>
          <w:rFonts w:ascii="Times New Roman" w:hAnsi="Times New Roman" w:cs="Times New Roman"/>
          <w:sz w:val="26"/>
          <w:szCs w:val="26"/>
        </w:rPr>
        <w:t xml:space="preserve"> articles 3, 19, 20, 22</w:t>
      </w:r>
      <w:r w:rsidR="005C2C75" w:rsidRPr="008E7C9A">
        <w:rPr>
          <w:rFonts w:ascii="Times New Roman" w:hAnsi="Times New Roman" w:cs="Times New Roman"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sz w:val="26"/>
          <w:szCs w:val="26"/>
        </w:rPr>
        <w:t>et 37 de la loi n°</w:t>
      </w:r>
      <w:r w:rsidR="009A615C" w:rsidRPr="008E7C9A">
        <w:rPr>
          <w:rFonts w:ascii="Times New Roman" w:hAnsi="Times New Roman" w:cs="Times New Roman"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sz w:val="26"/>
          <w:szCs w:val="26"/>
        </w:rPr>
        <w:t xml:space="preserve">2014-09 du 16 avril </w:t>
      </w:r>
      <w:r w:rsidR="00C0433B" w:rsidRPr="008E7C9A">
        <w:rPr>
          <w:rFonts w:ascii="Times New Roman" w:hAnsi="Times New Roman" w:cs="Times New Roman"/>
          <w:sz w:val="26"/>
          <w:szCs w:val="26"/>
        </w:rPr>
        <w:t>2014, portant</w:t>
      </w:r>
      <w:r w:rsidRPr="008E7C9A">
        <w:rPr>
          <w:rFonts w:ascii="Times New Roman" w:hAnsi="Times New Roman" w:cs="Times New Roman"/>
          <w:sz w:val="26"/>
          <w:szCs w:val="26"/>
        </w:rPr>
        <w:t xml:space="preserve"> Code des Investissements en République du Niger sont modifiés et complétés ainsi qu’il suit :</w:t>
      </w:r>
    </w:p>
    <w:p w:rsidR="00F15793" w:rsidRPr="008E7C9A" w:rsidRDefault="007E081B" w:rsidP="007E081B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Article 3 (nouveau)</w:t>
      </w:r>
      <w:r w:rsidRPr="008E7C9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:</w:t>
      </w:r>
      <w:r w:rsidRPr="008E7C9A">
        <w:rPr>
          <w:rFonts w:ascii="Times New Roman" w:hAnsi="Times New Roman" w:cs="Times New Roman"/>
          <w:sz w:val="26"/>
          <w:szCs w:val="26"/>
        </w:rPr>
        <w:t xml:space="preserve"> La mise en œuvre du Code des Investissements est assurée par un </w:t>
      </w:r>
      <w:proofErr w:type="spellStart"/>
      <w:r w:rsidRPr="008E7C9A">
        <w:rPr>
          <w:rFonts w:ascii="Times New Roman" w:hAnsi="Times New Roman" w:cs="Times New Roman"/>
          <w:sz w:val="26"/>
          <w:szCs w:val="26"/>
        </w:rPr>
        <w:t>Etablissement</w:t>
      </w:r>
      <w:proofErr w:type="spellEnd"/>
      <w:r w:rsidRPr="008E7C9A">
        <w:rPr>
          <w:rFonts w:ascii="Times New Roman" w:hAnsi="Times New Roman" w:cs="Times New Roman"/>
          <w:sz w:val="26"/>
          <w:szCs w:val="26"/>
        </w:rPr>
        <w:t xml:space="preserve"> Public</w:t>
      </w:r>
      <w:r w:rsidR="00F15793" w:rsidRPr="008E7C9A">
        <w:rPr>
          <w:rFonts w:ascii="Times New Roman" w:hAnsi="Times New Roman" w:cs="Times New Roman"/>
          <w:sz w:val="26"/>
          <w:szCs w:val="26"/>
        </w:rPr>
        <w:t xml:space="preserve"> à Caractère Administratif.</w:t>
      </w:r>
    </w:p>
    <w:p w:rsidR="009A3EF5" w:rsidRPr="008E7C9A" w:rsidRDefault="007E081B" w:rsidP="007E081B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DD3" w:rsidRPr="008E7C9A" w:rsidRDefault="00646DD3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i/>
          <w:sz w:val="26"/>
          <w:szCs w:val="26"/>
          <w:u w:val="single"/>
        </w:rPr>
        <w:t>Article 19 (nouveau)</w:t>
      </w:r>
      <w:r w:rsidRPr="008E7C9A">
        <w:rPr>
          <w:rFonts w:ascii="Times New Roman" w:hAnsi="Times New Roman" w:cs="Times New Roman"/>
          <w:b/>
          <w:i/>
          <w:sz w:val="26"/>
          <w:szCs w:val="26"/>
        </w:rPr>
        <w:t> :</w:t>
      </w:r>
      <w:r w:rsidRPr="008E7C9A">
        <w:rPr>
          <w:rFonts w:ascii="Times New Roman" w:hAnsi="Times New Roman" w:cs="Times New Roman"/>
          <w:sz w:val="26"/>
          <w:szCs w:val="26"/>
        </w:rPr>
        <w:t xml:space="preserve"> La décision relative à l’éligibilité à l’agrément au Code des Investissements doit être prise et communiquée à l’investisseur dans un délai qui ne peut excéder trente (30) jours ouvrables à compter de la date du dépôt du dossier de demande auprès de l’</w:t>
      </w:r>
      <w:proofErr w:type="spellStart"/>
      <w:r w:rsidRPr="008E7C9A">
        <w:rPr>
          <w:rFonts w:ascii="Times New Roman" w:hAnsi="Times New Roman" w:cs="Times New Roman"/>
          <w:sz w:val="26"/>
          <w:szCs w:val="26"/>
        </w:rPr>
        <w:t>Etablissement</w:t>
      </w:r>
      <w:proofErr w:type="spellEnd"/>
      <w:r w:rsidRPr="008E7C9A">
        <w:rPr>
          <w:rFonts w:ascii="Times New Roman" w:hAnsi="Times New Roman" w:cs="Times New Roman"/>
          <w:sz w:val="26"/>
          <w:szCs w:val="26"/>
        </w:rPr>
        <w:t xml:space="preserve"> Public prévu à l’article 3 </w:t>
      </w:r>
      <w:r w:rsidR="002E6170">
        <w:rPr>
          <w:rFonts w:ascii="Times New Roman" w:hAnsi="Times New Roman" w:cs="Times New Roman"/>
          <w:sz w:val="26"/>
          <w:szCs w:val="26"/>
        </w:rPr>
        <w:t>(</w:t>
      </w:r>
      <w:r w:rsidRPr="008E7C9A">
        <w:rPr>
          <w:rFonts w:ascii="Times New Roman" w:hAnsi="Times New Roman" w:cs="Times New Roman"/>
          <w:sz w:val="26"/>
          <w:szCs w:val="26"/>
        </w:rPr>
        <w:t>nouveau</w:t>
      </w:r>
      <w:r w:rsidR="002E6170">
        <w:rPr>
          <w:rFonts w:ascii="Times New Roman" w:hAnsi="Times New Roman" w:cs="Times New Roman"/>
          <w:sz w:val="26"/>
          <w:szCs w:val="26"/>
        </w:rPr>
        <w:t>) de la présente loi</w:t>
      </w:r>
      <w:r w:rsidRPr="008E7C9A">
        <w:rPr>
          <w:rFonts w:ascii="Times New Roman" w:hAnsi="Times New Roman" w:cs="Times New Roman"/>
          <w:sz w:val="26"/>
          <w:szCs w:val="26"/>
        </w:rPr>
        <w:t>.</w:t>
      </w:r>
    </w:p>
    <w:p w:rsidR="00393E30" w:rsidRPr="008E7C9A" w:rsidRDefault="00393E30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393E30" w:rsidRPr="008E7C9A" w:rsidRDefault="00393E30" w:rsidP="00322C17">
      <w:pPr>
        <w:pStyle w:val="Corps"/>
        <w:spacing w:line="360" w:lineRule="auto"/>
        <w:ind w:left="708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>Si au bout de 30 jours, aucune réponse n’est donnée, l’agrément est réputé accordé. Dans ce cas, les autorités compétentes sont tenues de notifier l’agrément dans un délai de sept (7) jours</w:t>
      </w:r>
      <w:r w:rsidR="00331205"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>,</w:t>
      </w:r>
      <w:r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le récépissé de dépôt faisant foi.</w:t>
      </w:r>
    </w:p>
    <w:p w:rsidR="009A3EF5" w:rsidRDefault="009A3EF5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7C9A" w:rsidRPr="008E7C9A" w:rsidRDefault="008E7C9A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6DD3" w:rsidRPr="008E7C9A" w:rsidRDefault="00646DD3" w:rsidP="00322C17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Cette décision doit faire l’objet d’une publication au Journal Officiel de la République du Niger.</w:t>
      </w:r>
    </w:p>
    <w:p w:rsidR="00646DD3" w:rsidRPr="008E7C9A" w:rsidRDefault="005774B2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ab/>
      </w:r>
      <w:r w:rsidRPr="008E7C9A">
        <w:rPr>
          <w:rFonts w:ascii="Times New Roman" w:hAnsi="Times New Roman" w:cs="Times New Roman"/>
          <w:sz w:val="26"/>
          <w:szCs w:val="26"/>
        </w:rPr>
        <w:tab/>
      </w:r>
      <w:r w:rsidR="00646DD3" w:rsidRPr="008E7C9A">
        <w:rPr>
          <w:rFonts w:ascii="Times New Roman" w:hAnsi="Times New Roman" w:cs="Times New Roman"/>
          <w:sz w:val="26"/>
          <w:szCs w:val="26"/>
        </w:rPr>
        <w:t>L’avis de publication doit comporter les informations suivantes :</w:t>
      </w:r>
    </w:p>
    <w:p w:rsidR="00646DD3" w:rsidRPr="008E7C9A" w:rsidRDefault="00322C17" w:rsidP="00551EBE">
      <w:pPr>
        <w:pStyle w:val="CorpsA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646DD3" w:rsidRPr="008E7C9A">
        <w:rPr>
          <w:rFonts w:ascii="Times New Roman" w:hAnsi="Times New Roman" w:cs="Times New Roman"/>
          <w:sz w:val="26"/>
          <w:szCs w:val="26"/>
        </w:rPr>
        <w:t>e montant des investissements à effectuer chaque année</w:t>
      </w:r>
      <w:r w:rsidR="000A7B00" w:rsidRPr="008E7C9A">
        <w:rPr>
          <w:rFonts w:ascii="Times New Roman" w:hAnsi="Times New Roman" w:cs="Times New Roman"/>
          <w:sz w:val="26"/>
          <w:szCs w:val="26"/>
        </w:rPr>
        <w:t xml:space="preserve"> pendant la durée de l’agrément ;</w:t>
      </w:r>
    </w:p>
    <w:p w:rsidR="00646DD3" w:rsidRPr="008E7C9A" w:rsidRDefault="00322C17" w:rsidP="00551EBE">
      <w:pPr>
        <w:pStyle w:val="CorpsA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646DD3" w:rsidRPr="008E7C9A">
        <w:rPr>
          <w:rFonts w:ascii="Times New Roman" w:hAnsi="Times New Roman" w:cs="Times New Roman"/>
          <w:sz w:val="26"/>
          <w:szCs w:val="26"/>
        </w:rPr>
        <w:t xml:space="preserve">e lieu de </w:t>
      </w:r>
      <w:r w:rsidR="00561D9C" w:rsidRPr="008E7C9A">
        <w:rPr>
          <w:rFonts w:ascii="Times New Roman" w:hAnsi="Times New Roman" w:cs="Times New Roman"/>
          <w:color w:val="auto"/>
          <w:sz w:val="26"/>
          <w:szCs w:val="26"/>
        </w:rPr>
        <w:t>l’</w:t>
      </w:r>
      <w:r w:rsidR="007E081B"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46DD3" w:rsidRPr="008E7C9A">
        <w:rPr>
          <w:rFonts w:ascii="Times New Roman" w:hAnsi="Times New Roman" w:cs="Times New Roman"/>
          <w:color w:val="auto"/>
          <w:sz w:val="26"/>
          <w:szCs w:val="26"/>
        </w:rPr>
        <w:t>(des</w:t>
      </w:r>
      <w:r w:rsidR="001631F0" w:rsidRPr="008E7C9A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646DD3" w:rsidRPr="008E7C9A">
        <w:rPr>
          <w:rFonts w:ascii="Times New Roman" w:hAnsi="Times New Roman" w:cs="Times New Roman"/>
          <w:sz w:val="26"/>
          <w:szCs w:val="26"/>
        </w:rPr>
        <w:t xml:space="preserve"> </w:t>
      </w:r>
      <w:r w:rsidR="000A7B00" w:rsidRPr="008E7C9A">
        <w:rPr>
          <w:rFonts w:ascii="Times New Roman" w:hAnsi="Times New Roman" w:cs="Times New Roman"/>
          <w:sz w:val="26"/>
          <w:szCs w:val="26"/>
        </w:rPr>
        <w:t>investissement (s) ;</w:t>
      </w:r>
      <w:r w:rsidR="00D54B8F">
        <w:rPr>
          <w:rFonts w:ascii="Times New Roman" w:hAnsi="Times New Roman" w:cs="Times New Roman"/>
          <w:sz w:val="26"/>
          <w:szCs w:val="26"/>
        </w:rPr>
        <w:tab/>
      </w:r>
    </w:p>
    <w:p w:rsidR="00646DD3" w:rsidRPr="008E7C9A" w:rsidRDefault="00322C17" w:rsidP="00551EBE">
      <w:pPr>
        <w:pStyle w:val="CorpsA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0A7B00" w:rsidRPr="008E7C9A">
        <w:rPr>
          <w:rFonts w:ascii="Times New Roman" w:hAnsi="Times New Roman" w:cs="Times New Roman"/>
          <w:sz w:val="26"/>
          <w:szCs w:val="26"/>
        </w:rPr>
        <w:t>e nombre d’emplois créés ;</w:t>
      </w:r>
    </w:p>
    <w:p w:rsidR="00646DD3" w:rsidRPr="008E7C9A" w:rsidRDefault="00322C17" w:rsidP="00551EBE">
      <w:pPr>
        <w:pStyle w:val="CorpsA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646DD3" w:rsidRPr="008E7C9A">
        <w:rPr>
          <w:rFonts w:ascii="Times New Roman" w:hAnsi="Times New Roman" w:cs="Times New Roman"/>
          <w:sz w:val="26"/>
          <w:szCs w:val="26"/>
        </w:rPr>
        <w:t>’estimation des avantages fiscaux pour chacune des incitations fiscales octroyées au cours des cinq (5) prochaines années.</w:t>
      </w:r>
    </w:p>
    <w:p w:rsidR="00E5693A" w:rsidRPr="008E7C9A" w:rsidRDefault="00E5693A" w:rsidP="00393E30">
      <w:pPr>
        <w:pStyle w:val="Corps"/>
        <w:jc w:val="both"/>
        <w:rPr>
          <w:rFonts w:ascii="Times New Roman" w:hAnsi="Times New Roman" w:cs="Times New Roman"/>
          <w:sz w:val="26"/>
          <w:szCs w:val="26"/>
        </w:rPr>
      </w:pPr>
    </w:p>
    <w:p w:rsidR="00646DD3" w:rsidRPr="008E7C9A" w:rsidRDefault="00646DD3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Article 20 (nouveau)</w:t>
      </w:r>
      <w:r w:rsidR="00FE00D5" w:rsidRPr="008E7C9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8E7C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sz w:val="26"/>
          <w:szCs w:val="26"/>
        </w:rPr>
        <w:t>L’éligibilité à l’agrément au Code des Investissements est déclarée par lettre du président du Comité d’Agrément de l’</w:t>
      </w:r>
      <w:proofErr w:type="spellStart"/>
      <w:r w:rsidRPr="008E7C9A">
        <w:rPr>
          <w:rFonts w:ascii="Times New Roman" w:hAnsi="Times New Roman" w:cs="Times New Roman"/>
          <w:sz w:val="26"/>
          <w:szCs w:val="26"/>
        </w:rPr>
        <w:t>Etablissement</w:t>
      </w:r>
      <w:proofErr w:type="spellEnd"/>
      <w:r w:rsidRPr="008E7C9A">
        <w:rPr>
          <w:rFonts w:ascii="Times New Roman" w:hAnsi="Times New Roman" w:cs="Times New Roman"/>
          <w:sz w:val="26"/>
          <w:szCs w:val="26"/>
        </w:rPr>
        <w:t xml:space="preserve"> Public prévu à l’article 3 (nouveau) ci-dessus après avis favorable du Comité d’Agrément créé auprès dudit </w:t>
      </w:r>
      <w:proofErr w:type="spellStart"/>
      <w:r w:rsidRPr="008E7C9A">
        <w:rPr>
          <w:rFonts w:ascii="Times New Roman" w:hAnsi="Times New Roman" w:cs="Times New Roman"/>
          <w:sz w:val="26"/>
          <w:szCs w:val="26"/>
        </w:rPr>
        <w:t>Etablissement</w:t>
      </w:r>
      <w:proofErr w:type="spellEnd"/>
      <w:r w:rsidRPr="008E7C9A">
        <w:rPr>
          <w:rFonts w:ascii="Times New Roman" w:hAnsi="Times New Roman" w:cs="Times New Roman"/>
          <w:sz w:val="26"/>
          <w:szCs w:val="26"/>
        </w:rPr>
        <w:t>.</w:t>
      </w:r>
    </w:p>
    <w:p w:rsidR="00D067B9" w:rsidRPr="00433D8E" w:rsidRDefault="00D067B9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:rsidR="00646DD3" w:rsidRPr="008E7C9A" w:rsidRDefault="00646DD3" w:rsidP="00322C17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 xml:space="preserve">La composition, les attributions et les modalités de fonctionnement </w:t>
      </w:r>
      <w:r w:rsidR="00561D9C"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du comité d’agrément </w:t>
      </w:r>
      <w:r w:rsidRPr="008E7C9A">
        <w:rPr>
          <w:rFonts w:ascii="Times New Roman" w:hAnsi="Times New Roman" w:cs="Times New Roman"/>
          <w:sz w:val="26"/>
          <w:szCs w:val="26"/>
        </w:rPr>
        <w:t>sont déterminées par décret pris en Conseil des Ministres.</w:t>
      </w:r>
    </w:p>
    <w:p w:rsidR="00A72E3A" w:rsidRPr="008E7C9A" w:rsidRDefault="00A72E3A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141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6DD3" w:rsidRPr="008E7C9A" w:rsidRDefault="00646DD3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5743">
        <w:rPr>
          <w:rFonts w:ascii="Times New Roman" w:hAnsi="Times New Roman" w:cs="Times New Roman"/>
          <w:b/>
          <w:i/>
          <w:sz w:val="26"/>
          <w:szCs w:val="26"/>
          <w:u w:val="single"/>
        </w:rPr>
        <w:t>Article 22 (nouveau)</w:t>
      </w:r>
      <w:r w:rsidRPr="00445743">
        <w:rPr>
          <w:rFonts w:ascii="Times New Roman" w:hAnsi="Times New Roman" w:cs="Times New Roman"/>
          <w:b/>
          <w:i/>
          <w:sz w:val="26"/>
          <w:szCs w:val="26"/>
        </w:rPr>
        <w:t> :</w:t>
      </w:r>
      <w:r w:rsidRPr="008E7C9A">
        <w:rPr>
          <w:rFonts w:ascii="Times New Roman" w:hAnsi="Times New Roman" w:cs="Times New Roman"/>
          <w:sz w:val="26"/>
          <w:szCs w:val="26"/>
        </w:rPr>
        <w:t xml:space="preserve"> En cas de non-respect de l’engagement pris par l’entreprise, les mesures suivantes peuvent être prises à son encontre :</w:t>
      </w:r>
    </w:p>
    <w:p w:rsidR="00646DD3" w:rsidRPr="008E7C9A" w:rsidRDefault="005774B2" w:rsidP="00445743">
      <w:pPr>
        <w:pStyle w:val="CorpsA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646DD3" w:rsidRPr="008E7C9A">
        <w:rPr>
          <w:rFonts w:ascii="Times New Roman" w:hAnsi="Times New Roman" w:cs="Times New Roman"/>
          <w:sz w:val="26"/>
          <w:szCs w:val="26"/>
        </w:rPr>
        <w:t xml:space="preserve">a suspension de l’agrément si </w:t>
      </w:r>
      <w:r w:rsidR="000A7B00" w:rsidRPr="008E7C9A">
        <w:rPr>
          <w:rFonts w:ascii="Times New Roman" w:hAnsi="Times New Roman" w:cs="Times New Roman"/>
          <w:sz w:val="26"/>
          <w:szCs w:val="26"/>
        </w:rPr>
        <w:t>trois (</w:t>
      </w:r>
      <w:r w:rsidR="00646DD3" w:rsidRPr="008E7C9A">
        <w:rPr>
          <w:rFonts w:ascii="Times New Roman" w:hAnsi="Times New Roman" w:cs="Times New Roman"/>
          <w:sz w:val="26"/>
          <w:szCs w:val="26"/>
        </w:rPr>
        <w:t>3</w:t>
      </w:r>
      <w:r w:rsidR="000A7B00" w:rsidRPr="008E7C9A">
        <w:rPr>
          <w:rFonts w:ascii="Times New Roman" w:hAnsi="Times New Roman" w:cs="Times New Roman"/>
          <w:sz w:val="26"/>
          <w:szCs w:val="26"/>
        </w:rPr>
        <w:t>)</w:t>
      </w:r>
      <w:r w:rsidR="00646DD3" w:rsidRPr="008E7C9A">
        <w:rPr>
          <w:rFonts w:ascii="Times New Roman" w:hAnsi="Times New Roman" w:cs="Times New Roman"/>
          <w:sz w:val="26"/>
          <w:szCs w:val="26"/>
        </w:rPr>
        <w:t xml:space="preserve"> mois après une mise en demeure écrite, aucune disposition n’est prise par l’entreprise agréée pour régulariser sa situation</w:t>
      </w:r>
      <w:r w:rsidR="00445743">
        <w:rPr>
          <w:rFonts w:ascii="Times New Roman" w:hAnsi="Times New Roman" w:cs="Times New Roman"/>
          <w:color w:val="auto"/>
          <w:sz w:val="26"/>
          <w:szCs w:val="26"/>
        </w:rPr>
        <w:t> ;</w:t>
      </w:r>
    </w:p>
    <w:p w:rsidR="00646DD3" w:rsidRPr="008E7C9A" w:rsidRDefault="005774B2" w:rsidP="00445743">
      <w:pPr>
        <w:pStyle w:val="CorpsA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sz w:val="26"/>
          <w:szCs w:val="26"/>
        </w:rPr>
        <w:t>l</w:t>
      </w:r>
      <w:r w:rsidR="00646DD3" w:rsidRPr="008E7C9A">
        <w:rPr>
          <w:rFonts w:ascii="Times New Roman" w:hAnsi="Times New Roman" w:cs="Times New Roman"/>
          <w:sz w:val="26"/>
          <w:szCs w:val="26"/>
        </w:rPr>
        <w:t xml:space="preserve">e retrait de l’agrément : </w:t>
      </w:r>
    </w:p>
    <w:p w:rsidR="00646DD3" w:rsidRPr="008E7C9A" w:rsidRDefault="00646DD3" w:rsidP="00D54B8F">
      <w:pPr>
        <w:pStyle w:val="CorpsA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color w:val="auto"/>
          <w:sz w:val="26"/>
          <w:szCs w:val="26"/>
        </w:rPr>
        <w:t>Si dans un délai de six (6) mois à compter de la date de suspension de l’agrément l’entreprise ne régularise pas sa situation</w:t>
      </w:r>
      <w:r w:rsidR="00017FE6" w:rsidRPr="008E7C9A">
        <w:rPr>
          <w:rFonts w:ascii="Times New Roman" w:hAnsi="Times New Roman" w:cs="Times New Roman"/>
          <w:color w:val="auto"/>
          <w:sz w:val="26"/>
          <w:szCs w:val="26"/>
        </w:rPr>
        <w:t> ;</w:t>
      </w:r>
    </w:p>
    <w:p w:rsidR="00646DD3" w:rsidRPr="008E7C9A" w:rsidRDefault="00646DD3" w:rsidP="00D54B8F">
      <w:pPr>
        <w:pStyle w:val="CorpsA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Si l’entreprise n’a pas réalisé son programme d’investissement dans un délai de trente-six (36) </w:t>
      </w:r>
      <w:r w:rsidR="00A74EAB" w:rsidRPr="008E7C9A">
        <w:rPr>
          <w:rFonts w:ascii="Times New Roman" w:hAnsi="Times New Roman" w:cs="Times New Roman"/>
          <w:color w:val="auto"/>
          <w:sz w:val="26"/>
          <w:szCs w:val="26"/>
        </w:rPr>
        <w:t>mois ;</w:t>
      </w:r>
    </w:p>
    <w:p w:rsidR="00646DD3" w:rsidRPr="008E7C9A" w:rsidRDefault="00646DD3" w:rsidP="00D54B8F">
      <w:pPr>
        <w:pStyle w:val="CorpsA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color w:val="auto"/>
          <w:sz w:val="26"/>
          <w:szCs w:val="26"/>
        </w:rPr>
        <w:t>En cas de fraude ou de manquements graves</w:t>
      </w:r>
      <w:r w:rsidR="00A74EAB" w:rsidRPr="008E7C9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 le retrait entraine le remboursement au Trésor </w:t>
      </w:r>
      <w:r w:rsidR="00322C17" w:rsidRPr="008E7C9A">
        <w:rPr>
          <w:rFonts w:ascii="Times New Roman" w:hAnsi="Times New Roman" w:cs="Times New Roman"/>
          <w:color w:val="auto"/>
          <w:sz w:val="26"/>
          <w:szCs w:val="26"/>
        </w:rPr>
        <w:t>P</w:t>
      </w:r>
      <w:r w:rsidRPr="008E7C9A">
        <w:rPr>
          <w:rFonts w:ascii="Times New Roman" w:hAnsi="Times New Roman" w:cs="Times New Roman"/>
          <w:color w:val="auto"/>
          <w:sz w:val="26"/>
          <w:szCs w:val="26"/>
        </w:rPr>
        <w:t>ublic, du montant des avantages fiscaux et douaniers obtenus.</w:t>
      </w:r>
    </w:p>
    <w:p w:rsidR="004C532F" w:rsidRDefault="004C532F" w:rsidP="005C7F5E">
      <w:pPr>
        <w:pStyle w:val="CorpsA"/>
        <w:widowControl w:val="0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3D8E" w:rsidRPr="008E7C9A" w:rsidRDefault="00433D8E" w:rsidP="005C7F5E">
      <w:pPr>
        <w:pStyle w:val="CorpsA"/>
        <w:widowControl w:val="0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93E30" w:rsidRDefault="00646DD3" w:rsidP="00322C17">
      <w:pPr>
        <w:pStyle w:val="Corps"/>
        <w:spacing w:line="360" w:lineRule="auto"/>
        <w:ind w:left="708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8E7C9A">
        <w:rPr>
          <w:rFonts w:ascii="Times New Roman" w:hAnsi="Times New Roman" w:cs="Times New Roman"/>
          <w:color w:val="auto"/>
          <w:sz w:val="26"/>
          <w:szCs w:val="26"/>
        </w:rPr>
        <w:t>La suspension ou le retrait de l’agrément est prononcé dans les mêmes formes que son octroi</w:t>
      </w:r>
      <w:r w:rsidR="00393E30"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93E30"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>conformément aux dispositions du Code Général des</w:t>
      </w:r>
      <w:r w:rsidR="00C83556"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Impôts et du Code des Douanes</w:t>
      </w:r>
      <w:r w:rsidR="00AB3A6D" w:rsidRPr="008E7C9A">
        <w:rPr>
          <w:rFonts w:ascii="Times New Roman" w:hAnsi="Times New Roman" w:cs="Times New Roman"/>
          <w:bCs/>
          <w:iCs/>
          <w:color w:val="auto"/>
          <w:sz w:val="26"/>
          <w:szCs w:val="26"/>
        </w:rPr>
        <w:t>.</w:t>
      </w:r>
    </w:p>
    <w:p w:rsidR="006C3799" w:rsidRPr="0042475F" w:rsidRDefault="006C3799" w:rsidP="00322C17">
      <w:pPr>
        <w:pStyle w:val="Corps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46DD3" w:rsidRPr="008E7C9A" w:rsidRDefault="00646DD3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C37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Article 37 (nouveau)</w:t>
      </w:r>
      <w:r w:rsidRPr="006C3799">
        <w:rPr>
          <w:rFonts w:ascii="Times New Roman" w:hAnsi="Times New Roman" w:cs="Times New Roman"/>
          <w:b/>
          <w:i/>
          <w:color w:val="auto"/>
          <w:sz w:val="26"/>
          <w:szCs w:val="26"/>
        </w:rPr>
        <w:t> :</w:t>
      </w:r>
      <w:r w:rsidRPr="008E7C9A">
        <w:rPr>
          <w:rFonts w:ascii="Times New Roman" w:hAnsi="Times New Roman" w:cs="Times New Roman"/>
          <w:color w:val="auto"/>
          <w:sz w:val="26"/>
          <w:szCs w:val="26"/>
        </w:rPr>
        <w:t xml:space="preserve"> La date du début de l’exploitation est </w:t>
      </w:r>
      <w:r w:rsidRPr="008E7C9A">
        <w:rPr>
          <w:rFonts w:ascii="Times New Roman" w:hAnsi="Times New Roman" w:cs="Times New Roman"/>
          <w:sz w:val="26"/>
          <w:szCs w:val="26"/>
        </w:rPr>
        <w:t xml:space="preserve">entendue comme la date à partir de laquelle l’entreprise réalise sa première offre de biens ou de services sur le marché. Cette date doit être notifiée à l’administration fiscale et à l’établissement public prévu à l’article 3 </w:t>
      </w:r>
      <w:r w:rsidR="000A7B00" w:rsidRPr="008E7C9A">
        <w:rPr>
          <w:rFonts w:ascii="Times New Roman" w:hAnsi="Times New Roman" w:cs="Times New Roman"/>
          <w:sz w:val="26"/>
          <w:szCs w:val="26"/>
        </w:rPr>
        <w:t>(</w:t>
      </w:r>
      <w:r w:rsidRPr="008E7C9A">
        <w:rPr>
          <w:rFonts w:ascii="Times New Roman" w:hAnsi="Times New Roman" w:cs="Times New Roman"/>
          <w:sz w:val="26"/>
          <w:szCs w:val="26"/>
        </w:rPr>
        <w:t>nouveau</w:t>
      </w:r>
      <w:r w:rsidR="000A7B00" w:rsidRPr="008E7C9A">
        <w:rPr>
          <w:rFonts w:ascii="Times New Roman" w:hAnsi="Times New Roman" w:cs="Times New Roman"/>
          <w:sz w:val="26"/>
          <w:szCs w:val="26"/>
        </w:rPr>
        <w:t>)</w:t>
      </w:r>
      <w:r w:rsidRPr="008E7C9A">
        <w:rPr>
          <w:rFonts w:ascii="Times New Roman" w:hAnsi="Times New Roman" w:cs="Times New Roman"/>
          <w:sz w:val="26"/>
          <w:szCs w:val="26"/>
        </w:rPr>
        <w:t xml:space="preserve"> </w:t>
      </w:r>
      <w:r w:rsidR="00481FFF">
        <w:rPr>
          <w:rFonts w:ascii="Times New Roman" w:hAnsi="Times New Roman" w:cs="Times New Roman"/>
          <w:sz w:val="26"/>
          <w:szCs w:val="26"/>
        </w:rPr>
        <w:t xml:space="preserve">de la présente loi </w:t>
      </w:r>
      <w:r w:rsidRPr="008E7C9A">
        <w:rPr>
          <w:rFonts w:ascii="Times New Roman" w:hAnsi="Times New Roman" w:cs="Times New Roman"/>
          <w:sz w:val="26"/>
          <w:szCs w:val="26"/>
        </w:rPr>
        <w:t>qui délivre une attestation à cet effet.</w:t>
      </w:r>
    </w:p>
    <w:p w:rsidR="00D067B9" w:rsidRPr="0042475F" w:rsidRDefault="00D067B9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6DD3" w:rsidRPr="008E7C9A" w:rsidRDefault="00646DD3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sz w:val="26"/>
          <w:szCs w:val="26"/>
          <w:u w:val="single"/>
        </w:rPr>
        <w:t>Article 2</w:t>
      </w:r>
      <w:r w:rsidR="00433D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3D8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E7C9A">
        <w:rPr>
          <w:rFonts w:ascii="Times New Roman" w:hAnsi="Times New Roman" w:cs="Times New Roman"/>
          <w:sz w:val="26"/>
          <w:szCs w:val="26"/>
        </w:rPr>
        <w:t xml:space="preserve"> Il est ajouté après l’article 20, un article 20 (bis) libellé comme suit</w:t>
      </w:r>
      <w:r w:rsidR="00C83556" w:rsidRPr="008E7C9A">
        <w:rPr>
          <w:rFonts w:ascii="Times New Roman" w:hAnsi="Times New Roman" w:cs="Times New Roman"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sz w:val="26"/>
          <w:szCs w:val="26"/>
        </w:rPr>
        <w:t>:</w:t>
      </w:r>
    </w:p>
    <w:p w:rsidR="00D067B9" w:rsidRPr="0042475F" w:rsidRDefault="00D067B9" w:rsidP="00551EBE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46DD3" w:rsidRPr="008E7C9A" w:rsidRDefault="00646DD3" w:rsidP="005774B2">
      <w:pPr>
        <w:pStyle w:val="CorpsA"/>
        <w:widowControl w:val="0"/>
        <w:tabs>
          <w:tab w:val="left" w:pos="220"/>
          <w:tab w:val="left" w:pos="720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33D8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Article 20 (bis)</w:t>
      </w:r>
      <w:r w:rsidR="00322C17" w:rsidRPr="00433D8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E5614" w:rsidRPr="00433D8E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="001E5614" w:rsidRPr="008E7C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bCs/>
          <w:sz w:val="26"/>
          <w:szCs w:val="26"/>
        </w:rPr>
        <w:t xml:space="preserve">Le bénéfice du Code des investissements est accordé par </w:t>
      </w:r>
      <w:r w:rsidRPr="008E7C9A">
        <w:rPr>
          <w:rFonts w:ascii="Times New Roman" w:hAnsi="Times New Roman" w:cs="Times New Roman"/>
          <w:sz w:val="26"/>
          <w:szCs w:val="26"/>
        </w:rPr>
        <w:t>arrêté du Ministre charg</w:t>
      </w:r>
      <w:r w:rsidR="006B0A7C">
        <w:rPr>
          <w:rFonts w:ascii="Times New Roman" w:hAnsi="Times New Roman" w:cs="Times New Roman"/>
          <w:sz w:val="26"/>
          <w:szCs w:val="26"/>
        </w:rPr>
        <w:t>é</w:t>
      </w:r>
      <w:r w:rsidRPr="008E7C9A">
        <w:rPr>
          <w:rFonts w:ascii="Times New Roman" w:hAnsi="Times New Roman" w:cs="Times New Roman"/>
          <w:sz w:val="26"/>
          <w:szCs w:val="26"/>
        </w:rPr>
        <w:t xml:space="preserve"> des Finances pour tout montant inférieur à deux milliards (2.000.000</w:t>
      </w:r>
      <w:r w:rsidR="00A72E3A" w:rsidRPr="008E7C9A">
        <w:rPr>
          <w:rFonts w:ascii="Times New Roman" w:hAnsi="Times New Roman" w:cs="Times New Roman"/>
          <w:color w:val="auto"/>
          <w:sz w:val="26"/>
          <w:szCs w:val="26"/>
        </w:rPr>
        <w:t>.000</w:t>
      </w:r>
      <w:r w:rsidR="001E5614" w:rsidRPr="008E7C9A">
        <w:rPr>
          <w:rFonts w:ascii="Times New Roman" w:hAnsi="Times New Roman" w:cs="Times New Roman"/>
          <w:sz w:val="26"/>
          <w:szCs w:val="26"/>
        </w:rPr>
        <w:t xml:space="preserve">) de francs </w:t>
      </w:r>
      <w:r w:rsidRPr="008E7C9A">
        <w:rPr>
          <w:rFonts w:ascii="Times New Roman" w:hAnsi="Times New Roman" w:cs="Times New Roman"/>
          <w:sz w:val="26"/>
          <w:szCs w:val="26"/>
        </w:rPr>
        <w:t>CFA et, par décret pris en Conseil des Ministres au-delà de ce montant.</w:t>
      </w:r>
    </w:p>
    <w:p w:rsidR="00D067B9" w:rsidRPr="00DA4DC9" w:rsidRDefault="00D067B9" w:rsidP="009A615C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DD3" w:rsidRPr="008E7C9A" w:rsidRDefault="00646DD3" w:rsidP="009A615C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sz w:val="26"/>
          <w:szCs w:val="26"/>
          <w:u w:val="single"/>
        </w:rPr>
        <w:t>Article 3</w:t>
      </w:r>
      <w:r w:rsidR="00E5693A" w:rsidRPr="008E7C9A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r w:rsidRPr="008E7C9A">
        <w:rPr>
          <w:rFonts w:ascii="Times New Roman" w:hAnsi="Times New Roman" w:cs="Times New Roman"/>
          <w:sz w:val="26"/>
          <w:szCs w:val="26"/>
        </w:rPr>
        <w:t xml:space="preserve"> Sont abrogées toutes dispositions antérieures contraires à la présente loi.</w:t>
      </w:r>
    </w:p>
    <w:p w:rsidR="001C7FAC" w:rsidRPr="00DA4DC9" w:rsidRDefault="001C7FAC" w:rsidP="009A615C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6DD3" w:rsidRPr="008E7C9A" w:rsidRDefault="00646DD3" w:rsidP="009A615C">
      <w:pPr>
        <w:pStyle w:val="CorpsA"/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C9A">
        <w:rPr>
          <w:rFonts w:ascii="Times New Roman" w:hAnsi="Times New Roman" w:cs="Times New Roman"/>
          <w:b/>
          <w:bCs/>
          <w:sz w:val="26"/>
          <w:szCs w:val="26"/>
          <w:u w:val="single"/>
        </w:rPr>
        <w:t>Article</w:t>
      </w:r>
      <w:r w:rsidR="00A72E3A" w:rsidRPr="008E7C9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5693A" w:rsidRPr="008E7C9A">
        <w:rPr>
          <w:rFonts w:ascii="Times New Roman" w:hAnsi="Times New Roman" w:cs="Times New Roman"/>
          <w:b/>
          <w:bCs/>
          <w:strike/>
          <w:sz w:val="26"/>
          <w:szCs w:val="26"/>
          <w:u w:val="single"/>
        </w:rPr>
        <w:t>4</w:t>
      </w:r>
      <w:r w:rsidR="00E5693A" w:rsidRPr="008E7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693A" w:rsidRPr="00433D8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33D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7C9A">
        <w:rPr>
          <w:rFonts w:ascii="Times New Roman" w:hAnsi="Times New Roman" w:cs="Times New Roman"/>
          <w:bCs/>
          <w:sz w:val="26"/>
          <w:szCs w:val="26"/>
        </w:rPr>
        <w:t xml:space="preserve">La présente loi est publiée au Journal Officiel de la République du Niger </w:t>
      </w:r>
      <w:r w:rsidR="00A72925" w:rsidRPr="008E7C9A">
        <w:rPr>
          <w:rFonts w:ascii="Times New Roman" w:hAnsi="Times New Roman" w:cs="Times New Roman"/>
          <w:bCs/>
          <w:sz w:val="26"/>
          <w:szCs w:val="26"/>
        </w:rPr>
        <w:t>et exécutée</w:t>
      </w:r>
      <w:r w:rsidRPr="008E7C9A">
        <w:rPr>
          <w:rFonts w:ascii="Times New Roman" w:hAnsi="Times New Roman" w:cs="Times New Roman"/>
          <w:bCs/>
          <w:sz w:val="26"/>
          <w:szCs w:val="26"/>
        </w:rPr>
        <w:t xml:space="preserve"> comme loi d</w:t>
      </w:r>
      <w:r w:rsidR="000A7B00" w:rsidRPr="008E7C9A">
        <w:rPr>
          <w:rFonts w:ascii="Times New Roman" w:hAnsi="Times New Roman" w:cs="Times New Roman"/>
          <w:bCs/>
          <w:sz w:val="26"/>
          <w:szCs w:val="26"/>
        </w:rPr>
        <w:t>e l’</w:t>
      </w:r>
      <w:proofErr w:type="spellStart"/>
      <w:r w:rsidRPr="008E7C9A">
        <w:rPr>
          <w:rFonts w:ascii="Times New Roman" w:hAnsi="Times New Roman" w:cs="Times New Roman"/>
          <w:bCs/>
          <w:sz w:val="26"/>
          <w:szCs w:val="26"/>
        </w:rPr>
        <w:t>Etat</w:t>
      </w:r>
      <w:proofErr w:type="spellEnd"/>
      <w:r w:rsidRPr="008E7C9A">
        <w:rPr>
          <w:rFonts w:ascii="Times New Roman" w:hAnsi="Times New Roman" w:cs="Times New Roman"/>
          <w:bCs/>
          <w:sz w:val="26"/>
          <w:szCs w:val="26"/>
        </w:rPr>
        <w:t>.</w:t>
      </w:r>
    </w:p>
    <w:p w:rsidR="009A615C" w:rsidRPr="00DA4DC9" w:rsidRDefault="009A615C" w:rsidP="009A615C">
      <w:pPr>
        <w:pStyle w:val="Titre"/>
        <w:rPr>
          <w:rFonts w:ascii="Times New Roman" w:hAnsi="Times New Roman" w:cs="Times New Roman"/>
          <w:sz w:val="24"/>
          <w:szCs w:val="24"/>
        </w:rPr>
      </w:pPr>
    </w:p>
    <w:p w:rsidR="008E7C9A" w:rsidRPr="008E7C9A" w:rsidRDefault="008E7C9A" w:rsidP="008E7C9A">
      <w:pPr>
        <w:ind w:left="5664"/>
        <w:jc w:val="both"/>
        <w:rPr>
          <w:sz w:val="25"/>
          <w:szCs w:val="25"/>
          <w:lang w:val="fr-FR"/>
        </w:rPr>
      </w:pPr>
      <w:r w:rsidRPr="008E7C9A">
        <w:rPr>
          <w:sz w:val="25"/>
          <w:szCs w:val="25"/>
          <w:lang w:val="fr-FR"/>
        </w:rPr>
        <w:t>Fait à Niamey, le 05 juin 2018</w:t>
      </w:r>
    </w:p>
    <w:p w:rsidR="008E7C9A" w:rsidRPr="009D7588" w:rsidRDefault="004C178C" w:rsidP="008E7C9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3B37C6">
        <w:rPr>
          <w:sz w:val="22"/>
          <w:szCs w:val="22"/>
          <w:lang w:val="fr-FR"/>
        </w:rPr>
        <w:t xml:space="preserve"> </w:t>
      </w:r>
    </w:p>
    <w:p w:rsidR="008E7C9A" w:rsidRPr="009D7588" w:rsidRDefault="008E7C9A" w:rsidP="008E7C9A">
      <w:pPr>
        <w:rPr>
          <w:sz w:val="22"/>
          <w:szCs w:val="22"/>
          <w:lang w:val="fr-FR"/>
        </w:rPr>
      </w:pPr>
    </w:p>
    <w:p w:rsidR="008E7C9A" w:rsidRDefault="008E7C9A" w:rsidP="008E7C9A">
      <w:pPr>
        <w:ind w:left="4956"/>
        <w:contextualSpacing/>
        <w:jc w:val="both"/>
        <w:rPr>
          <w:sz w:val="16"/>
          <w:szCs w:val="16"/>
          <w:lang w:val="fr-FR"/>
        </w:rPr>
      </w:pPr>
      <w:r w:rsidRPr="008E7C9A">
        <w:rPr>
          <w:b/>
          <w:sz w:val="28"/>
          <w:szCs w:val="28"/>
          <w:u w:val="single"/>
          <w:lang w:val="fr-FR"/>
        </w:rPr>
        <w:t>Signé</w:t>
      </w:r>
      <w:r w:rsidRPr="008E7C9A">
        <w:rPr>
          <w:sz w:val="28"/>
          <w:szCs w:val="28"/>
          <w:lang w:val="fr-FR"/>
        </w:rPr>
        <w:t> </w:t>
      </w:r>
      <w:r w:rsidRPr="008E7C9A">
        <w:rPr>
          <w:b/>
          <w:sz w:val="28"/>
          <w:szCs w:val="28"/>
          <w:lang w:val="fr-FR"/>
        </w:rPr>
        <w:t>:</w:t>
      </w:r>
      <w:r w:rsidRPr="008E7C9A">
        <w:rPr>
          <w:sz w:val="28"/>
          <w:szCs w:val="28"/>
          <w:lang w:val="fr-FR"/>
        </w:rPr>
        <w:t xml:space="preserve"> Le Président de la République</w:t>
      </w:r>
    </w:p>
    <w:p w:rsidR="008E7C9A" w:rsidRPr="008E7C9A" w:rsidRDefault="008E7C9A" w:rsidP="0062576B">
      <w:pPr>
        <w:ind w:left="4956" w:firstLine="708"/>
        <w:contextualSpacing/>
        <w:jc w:val="both"/>
        <w:rPr>
          <w:rFonts w:ascii="Arial Black" w:hAnsi="Arial Black"/>
          <w:b/>
          <w:u w:val="single"/>
          <w:lang w:val="fr-FR"/>
        </w:rPr>
      </w:pPr>
      <w:r w:rsidRPr="008E7C9A">
        <w:rPr>
          <w:rFonts w:ascii="Arial Black" w:hAnsi="Arial Black"/>
          <w:b/>
          <w:lang w:val="fr-FR"/>
        </w:rPr>
        <w:t xml:space="preserve">   </w:t>
      </w:r>
      <w:r w:rsidRPr="008E7C9A">
        <w:rPr>
          <w:rFonts w:ascii="Arial Black" w:hAnsi="Arial Black"/>
          <w:b/>
          <w:u w:val="single"/>
          <w:lang w:val="fr-FR"/>
        </w:rPr>
        <w:t>ISSOUFOU  MAHAMADOU</w:t>
      </w:r>
    </w:p>
    <w:p w:rsidR="0062576B" w:rsidRPr="008E7C9A" w:rsidRDefault="0062576B" w:rsidP="0062576B">
      <w:pPr>
        <w:jc w:val="both"/>
        <w:rPr>
          <w:rFonts w:ascii="Tahoma" w:hAnsi="Tahoma" w:cs="Tahoma"/>
          <w:sz w:val="26"/>
          <w:szCs w:val="26"/>
          <w:lang w:val="fr-FR"/>
        </w:rPr>
      </w:pPr>
      <w:r w:rsidRPr="008E7C9A">
        <w:rPr>
          <w:rFonts w:ascii="Tahoma" w:hAnsi="Tahoma" w:cs="Tahoma"/>
          <w:sz w:val="26"/>
          <w:szCs w:val="26"/>
          <w:lang w:val="fr-FR"/>
        </w:rPr>
        <w:t xml:space="preserve">Le Premier Ministre </w:t>
      </w:r>
    </w:p>
    <w:p w:rsidR="008E7C9A" w:rsidRDefault="008E7C9A" w:rsidP="0062576B">
      <w:pPr>
        <w:jc w:val="both"/>
        <w:rPr>
          <w:rFonts w:ascii="Tahoma" w:hAnsi="Tahoma" w:cs="Tahoma"/>
          <w:b/>
          <w:sz w:val="26"/>
          <w:szCs w:val="26"/>
          <w:u w:val="single"/>
          <w:lang w:val="fr-FR"/>
        </w:rPr>
      </w:pPr>
      <w:r w:rsidRPr="008E7C9A">
        <w:rPr>
          <w:rFonts w:ascii="Tahoma" w:hAnsi="Tahoma" w:cs="Tahoma"/>
          <w:b/>
          <w:sz w:val="26"/>
          <w:szCs w:val="26"/>
          <w:u w:val="single"/>
          <w:lang w:val="fr-FR"/>
        </w:rPr>
        <w:t>BRIGI  RAFINI</w:t>
      </w:r>
    </w:p>
    <w:p w:rsidR="0062576B" w:rsidRDefault="0062576B" w:rsidP="0062576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EF5F4D" w:rsidRPr="0062576B" w:rsidRDefault="00EF5F4D" w:rsidP="0062576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62576B" w:rsidRPr="0062576B" w:rsidRDefault="0062576B" w:rsidP="0062576B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2576B">
        <w:rPr>
          <w:rFonts w:ascii="Arial" w:hAnsi="Arial" w:cs="Arial"/>
          <w:b/>
          <w:sz w:val="22"/>
          <w:szCs w:val="22"/>
          <w:u w:val="single"/>
          <w:lang w:val="fr-FR"/>
        </w:rPr>
        <w:t>Pour ampliation</w:t>
      </w:r>
      <w:r w:rsidRPr="0062576B">
        <w:rPr>
          <w:rFonts w:ascii="Arial" w:hAnsi="Arial" w:cs="Arial"/>
          <w:b/>
          <w:sz w:val="22"/>
          <w:szCs w:val="22"/>
          <w:lang w:val="fr-FR"/>
        </w:rPr>
        <w:t> :</w:t>
      </w:r>
    </w:p>
    <w:p w:rsidR="0062576B" w:rsidRPr="0062576B" w:rsidRDefault="0062576B" w:rsidP="0062576B">
      <w:pPr>
        <w:rPr>
          <w:rFonts w:ascii="Arial" w:hAnsi="Arial" w:cs="Arial"/>
          <w:sz w:val="22"/>
          <w:szCs w:val="22"/>
          <w:lang w:val="fr-FR"/>
        </w:rPr>
      </w:pPr>
      <w:r w:rsidRPr="0062576B">
        <w:rPr>
          <w:rFonts w:ascii="Arial" w:hAnsi="Arial" w:cs="Arial"/>
          <w:sz w:val="22"/>
          <w:szCs w:val="22"/>
          <w:lang w:val="fr-FR"/>
        </w:rPr>
        <w:t xml:space="preserve">Le Secrétaire Général </w:t>
      </w:r>
    </w:p>
    <w:p w:rsidR="0062576B" w:rsidRPr="0062576B" w:rsidRDefault="0062576B" w:rsidP="0062576B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62576B">
        <w:rPr>
          <w:rFonts w:ascii="Arial" w:hAnsi="Arial" w:cs="Arial"/>
          <w:sz w:val="22"/>
          <w:szCs w:val="22"/>
          <w:lang w:val="fr-FR"/>
        </w:rPr>
        <w:t>du</w:t>
      </w:r>
      <w:proofErr w:type="gramEnd"/>
      <w:r w:rsidRPr="0062576B">
        <w:rPr>
          <w:rFonts w:ascii="Arial" w:hAnsi="Arial" w:cs="Arial"/>
          <w:sz w:val="22"/>
          <w:szCs w:val="22"/>
          <w:lang w:val="fr-FR"/>
        </w:rPr>
        <w:t xml:space="preserve"> Gouvernement</w:t>
      </w:r>
    </w:p>
    <w:p w:rsidR="0062576B" w:rsidRDefault="0062576B" w:rsidP="0062576B">
      <w:pPr>
        <w:rPr>
          <w:rFonts w:ascii="Arial" w:hAnsi="Arial" w:cs="Arial"/>
          <w:lang w:val="fr-FR"/>
        </w:rPr>
      </w:pPr>
    </w:p>
    <w:p w:rsidR="0042475F" w:rsidRDefault="0042475F" w:rsidP="0062576B">
      <w:pPr>
        <w:rPr>
          <w:rFonts w:ascii="Arial" w:hAnsi="Arial" w:cs="Arial"/>
          <w:lang w:val="fr-FR"/>
        </w:rPr>
      </w:pPr>
    </w:p>
    <w:p w:rsidR="0062576B" w:rsidRDefault="0062576B" w:rsidP="0062576B">
      <w:pPr>
        <w:rPr>
          <w:rFonts w:ascii="Arial" w:hAnsi="Arial" w:cs="Arial"/>
          <w:lang w:val="fr-FR"/>
        </w:rPr>
      </w:pPr>
    </w:p>
    <w:p w:rsidR="00EF5F4D" w:rsidRDefault="00EF5F4D" w:rsidP="0062576B">
      <w:pPr>
        <w:rPr>
          <w:rFonts w:ascii="Arial" w:hAnsi="Arial" w:cs="Arial"/>
          <w:lang w:val="fr-FR"/>
        </w:rPr>
      </w:pPr>
    </w:p>
    <w:p w:rsidR="0062576B" w:rsidRDefault="0062576B" w:rsidP="0062576B">
      <w:pPr>
        <w:rPr>
          <w:rFonts w:ascii="Arial" w:hAnsi="Arial" w:cs="Arial"/>
          <w:lang w:val="fr-FR"/>
        </w:rPr>
      </w:pPr>
    </w:p>
    <w:p w:rsidR="0062576B" w:rsidRPr="00143A11" w:rsidRDefault="0062576B" w:rsidP="0062576B">
      <w:pPr>
        <w:rPr>
          <w:rFonts w:ascii="Arial" w:hAnsi="Arial" w:cs="Arial"/>
          <w:caps/>
          <w:sz w:val="22"/>
          <w:szCs w:val="22"/>
        </w:rPr>
      </w:pPr>
      <w:proofErr w:type="gramStart"/>
      <w:r w:rsidRPr="00143A11">
        <w:rPr>
          <w:rFonts w:ascii="Arial" w:hAnsi="Arial" w:cs="Arial"/>
          <w:b/>
          <w:sz w:val="22"/>
          <w:szCs w:val="22"/>
          <w:u w:val="single"/>
        </w:rPr>
        <w:t>ABDOU  DANGALADIMA</w:t>
      </w:r>
      <w:proofErr w:type="gramEnd"/>
    </w:p>
    <w:sectPr w:rsidR="0062576B" w:rsidRPr="00143A11" w:rsidSect="00B6789C">
      <w:footerReference w:type="default" r:id="rId8"/>
      <w:pgSz w:w="11906" w:h="16838"/>
      <w:pgMar w:top="90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DE" w:rsidRDefault="00DE02DE" w:rsidP="00A4014A">
      <w:r>
        <w:separator/>
      </w:r>
    </w:p>
  </w:endnote>
  <w:endnote w:type="continuationSeparator" w:id="0">
    <w:p w:rsidR="00DE02DE" w:rsidRDefault="00DE02DE" w:rsidP="00A4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78025"/>
      <w:docPartObj>
        <w:docPartGallery w:val="Page Numbers (Bottom of Page)"/>
        <w:docPartUnique/>
      </w:docPartObj>
    </w:sdtPr>
    <w:sdtEndPr/>
    <w:sdtContent>
      <w:p w:rsidR="00A4014A" w:rsidRDefault="00A24E8A">
        <w:pPr>
          <w:pStyle w:val="Pieddepage"/>
          <w:jc w:val="right"/>
        </w:pPr>
        <w:r>
          <w:fldChar w:fldCharType="begin"/>
        </w:r>
        <w:r w:rsidR="00A4014A">
          <w:instrText>PAGE   \* MERGEFORMAT</w:instrText>
        </w:r>
        <w:r>
          <w:fldChar w:fldCharType="separate"/>
        </w:r>
        <w:r w:rsidR="00CF1CB2" w:rsidRPr="00CF1CB2">
          <w:rPr>
            <w:noProof/>
            <w:lang w:val="fr-FR"/>
          </w:rPr>
          <w:t>1</w:t>
        </w:r>
        <w:r>
          <w:fldChar w:fldCharType="end"/>
        </w:r>
      </w:p>
    </w:sdtContent>
  </w:sdt>
  <w:p w:rsidR="00A4014A" w:rsidRDefault="00A40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DE" w:rsidRDefault="00DE02DE" w:rsidP="00A4014A">
      <w:r>
        <w:separator/>
      </w:r>
    </w:p>
  </w:footnote>
  <w:footnote w:type="continuationSeparator" w:id="0">
    <w:p w:rsidR="00DE02DE" w:rsidRDefault="00DE02DE" w:rsidP="00A4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1BD8"/>
    <w:multiLevelType w:val="hybridMultilevel"/>
    <w:tmpl w:val="C85C2508"/>
    <w:lvl w:ilvl="0" w:tplc="03484664">
      <w:start w:val="589"/>
      <w:numFmt w:val="bullet"/>
      <w:lvlText w:val="­"/>
      <w:lvlJc w:val="left"/>
      <w:pPr>
        <w:ind w:left="1776" w:hanging="360"/>
      </w:pPr>
      <w:rPr>
        <w:rFonts w:asciiTheme="minorHAnsi" w:eastAsia="Calibri" w:hAnsiTheme="minorHAnsi" w:cs="Times New Roman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D7164FF"/>
    <w:multiLevelType w:val="hybridMultilevel"/>
    <w:tmpl w:val="CFEE9902"/>
    <w:lvl w:ilvl="0" w:tplc="D68AEF5C">
      <w:start w:val="19"/>
      <w:numFmt w:val="bullet"/>
      <w:lvlText w:val="-"/>
      <w:lvlJc w:val="left"/>
      <w:pPr>
        <w:ind w:left="1776" w:hanging="360"/>
      </w:pPr>
      <w:rPr>
        <w:rFonts w:ascii="Cambria" w:eastAsia="Cambria" w:hAnsi="Cambria" w:cs="Cambria" w:hint="default"/>
        <w:b/>
        <w:sz w:val="28"/>
        <w:szCs w:val="28"/>
      </w:rPr>
    </w:lvl>
    <w:lvl w:ilvl="1" w:tplc="595ECF44">
      <w:start w:val="1"/>
      <w:numFmt w:val="lowerLetter"/>
      <w:lvlText w:val="%2)"/>
      <w:lvlJc w:val="left"/>
      <w:pPr>
        <w:ind w:left="2496" w:hanging="360"/>
      </w:pPr>
      <w:rPr>
        <w:rFonts w:hint="default"/>
        <w:b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A3F6738"/>
    <w:multiLevelType w:val="hybridMultilevel"/>
    <w:tmpl w:val="24EA940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595ECF44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3"/>
    <w:rsid w:val="00017FE6"/>
    <w:rsid w:val="00024756"/>
    <w:rsid w:val="00066883"/>
    <w:rsid w:val="000A7B00"/>
    <w:rsid w:val="000E4686"/>
    <w:rsid w:val="001008BF"/>
    <w:rsid w:val="00105E34"/>
    <w:rsid w:val="001631F0"/>
    <w:rsid w:val="001914E9"/>
    <w:rsid w:val="001C7FAC"/>
    <w:rsid w:val="001E5614"/>
    <w:rsid w:val="00212667"/>
    <w:rsid w:val="0022483B"/>
    <w:rsid w:val="0025467B"/>
    <w:rsid w:val="00271E11"/>
    <w:rsid w:val="002E1240"/>
    <w:rsid w:val="002E6170"/>
    <w:rsid w:val="002F4AA3"/>
    <w:rsid w:val="003078CD"/>
    <w:rsid w:val="00322C17"/>
    <w:rsid w:val="00331205"/>
    <w:rsid w:val="00393E30"/>
    <w:rsid w:val="003B37C6"/>
    <w:rsid w:val="00421566"/>
    <w:rsid w:val="0042475F"/>
    <w:rsid w:val="00433D8E"/>
    <w:rsid w:val="00445743"/>
    <w:rsid w:val="004814C9"/>
    <w:rsid w:val="00481FFF"/>
    <w:rsid w:val="004B4CA0"/>
    <w:rsid w:val="004C178C"/>
    <w:rsid w:val="004C532F"/>
    <w:rsid w:val="005006B6"/>
    <w:rsid w:val="00516164"/>
    <w:rsid w:val="005279BA"/>
    <w:rsid w:val="00551EBE"/>
    <w:rsid w:val="00561D9C"/>
    <w:rsid w:val="00571A8E"/>
    <w:rsid w:val="005774B2"/>
    <w:rsid w:val="005C2C75"/>
    <w:rsid w:val="005C7F5E"/>
    <w:rsid w:val="005E471B"/>
    <w:rsid w:val="005F3D83"/>
    <w:rsid w:val="0062576B"/>
    <w:rsid w:val="00646DD3"/>
    <w:rsid w:val="0067410E"/>
    <w:rsid w:val="006B0A7C"/>
    <w:rsid w:val="006B50AC"/>
    <w:rsid w:val="006C3799"/>
    <w:rsid w:val="007039CE"/>
    <w:rsid w:val="007549DD"/>
    <w:rsid w:val="007E081B"/>
    <w:rsid w:val="00820864"/>
    <w:rsid w:val="008E7C9A"/>
    <w:rsid w:val="009434BA"/>
    <w:rsid w:val="00965270"/>
    <w:rsid w:val="0096631A"/>
    <w:rsid w:val="00990FCC"/>
    <w:rsid w:val="009A3EF5"/>
    <w:rsid w:val="009A615C"/>
    <w:rsid w:val="009C108C"/>
    <w:rsid w:val="009D7588"/>
    <w:rsid w:val="00A24E8A"/>
    <w:rsid w:val="00A27EE0"/>
    <w:rsid w:val="00A4014A"/>
    <w:rsid w:val="00A72925"/>
    <w:rsid w:val="00A72E3A"/>
    <w:rsid w:val="00A74EAB"/>
    <w:rsid w:val="00AB3A6D"/>
    <w:rsid w:val="00AE0E02"/>
    <w:rsid w:val="00AF7709"/>
    <w:rsid w:val="00B6789C"/>
    <w:rsid w:val="00B77734"/>
    <w:rsid w:val="00B80BF9"/>
    <w:rsid w:val="00B82331"/>
    <w:rsid w:val="00C0433B"/>
    <w:rsid w:val="00C20189"/>
    <w:rsid w:val="00C416BA"/>
    <w:rsid w:val="00C83556"/>
    <w:rsid w:val="00C963EE"/>
    <w:rsid w:val="00CA3C6A"/>
    <w:rsid w:val="00CB107B"/>
    <w:rsid w:val="00CB68ED"/>
    <w:rsid w:val="00CC7F2D"/>
    <w:rsid w:val="00CF1CB2"/>
    <w:rsid w:val="00CF74C0"/>
    <w:rsid w:val="00D067B9"/>
    <w:rsid w:val="00D103DE"/>
    <w:rsid w:val="00D54B8F"/>
    <w:rsid w:val="00D54C58"/>
    <w:rsid w:val="00D707D2"/>
    <w:rsid w:val="00D86620"/>
    <w:rsid w:val="00D95AA2"/>
    <w:rsid w:val="00DA4DC9"/>
    <w:rsid w:val="00DB7A01"/>
    <w:rsid w:val="00DB7C05"/>
    <w:rsid w:val="00DD0561"/>
    <w:rsid w:val="00DE02DE"/>
    <w:rsid w:val="00DE502B"/>
    <w:rsid w:val="00DF5329"/>
    <w:rsid w:val="00E03B29"/>
    <w:rsid w:val="00E15C18"/>
    <w:rsid w:val="00E55CC9"/>
    <w:rsid w:val="00E5693A"/>
    <w:rsid w:val="00ED6740"/>
    <w:rsid w:val="00EF5F4D"/>
    <w:rsid w:val="00F15793"/>
    <w:rsid w:val="00F162D6"/>
    <w:rsid w:val="00F729D9"/>
    <w:rsid w:val="00F86464"/>
    <w:rsid w:val="00FD02FA"/>
    <w:rsid w:val="00FD14B1"/>
    <w:rsid w:val="00FE00D5"/>
    <w:rsid w:val="00FE441D"/>
    <w:rsid w:val="00FF6715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3B78-D574-477F-AFCF-D4E02DD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D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4">
    <w:name w:val="heading 4"/>
    <w:next w:val="CorpsA"/>
    <w:link w:val="Titre4Car"/>
    <w:rsid w:val="00646DD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6DD3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paragraph" w:customStyle="1" w:styleId="CorpsA">
    <w:name w:val="Corps A"/>
    <w:rsid w:val="00646D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customStyle="1" w:styleId="Corps">
    <w:name w:val="Corps"/>
    <w:rsid w:val="00393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A6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A6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40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1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0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1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8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81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8EE5-25F9-47E7-A8EB-7D9CB16A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HP</cp:lastModifiedBy>
  <cp:revision>2</cp:revision>
  <cp:lastPrinted>2018-06-13T11:26:00Z</cp:lastPrinted>
  <dcterms:created xsi:type="dcterms:W3CDTF">2022-10-22T19:05:00Z</dcterms:created>
  <dcterms:modified xsi:type="dcterms:W3CDTF">2022-10-22T19:05:00Z</dcterms:modified>
</cp:coreProperties>
</file>