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FD997" w14:textId="77777777" w:rsidR="00296975" w:rsidRPr="003432ED" w:rsidRDefault="00B11651" w:rsidP="00296975">
      <w:pPr>
        <w:keepLines/>
        <w:ind w:left="-540" w:right="-9"/>
        <w:jc w:val="center"/>
        <w:rPr>
          <w:rStyle w:val="lev"/>
          <w:color w:val="00000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CA73A57" wp14:editId="5675C9E9">
            <wp:simplePos x="0" y="0"/>
            <wp:positionH relativeFrom="column">
              <wp:posOffset>116444</wp:posOffset>
            </wp:positionH>
            <wp:positionV relativeFrom="paragraph">
              <wp:posOffset>-15240</wp:posOffset>
            </wp:positionV>
            <wp:extent cx="1083310" cy="534837"/>
            <wp:effectExtent l="0" t="0" r="2540" b="0"/>
            <wp:wrapNone/>
            <wp:docPr id="1" name="Image 1" descr="E:\ARMOIRE_PRIV\AUTRE ARCHIV\Logo\Projets_Programmes\PNF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E:\ARMOIRE_PRIV\AUTRE ARCHIV\Logo\Projets_Programmes\PNF\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53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lev"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7FCFD338" wp14:editId="62E71AE8">
            <wp:simplePos x="0" y="0"/>
            <wp:positionH relativeFrom="column">
              <wp:posOffset>4722998</wp:posOffset>
            </wp:positionH>
            <wp:positionV relativeFrom="paragraph">
              <wp:posOffset>-15240</wp:posOffset>
            </wp:positionV>
            <wp:extent cx="1437769" cy="603849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769" cy="603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B61FB" w14:textId="77777777" w:rsidR="00296975" w:rsidRPr="003432ED" w:rsidRDefault="00296975" w:rsidP="00296975">
      <w:pPr>
        <w:keepLines/>
        <w:ind w:left="-540" w:right="-9"/>
        <w:jc w:val="center"/>
        <w:rPr>
          <w:rStyle w:val="lev"/>
          <w:color w:val="000000"/>
          <w:sz w:val="28"/>
          <w:szCs w:val="28"/>
        </w:rPr>
      </w:pPr>
    </w:p>
    <w:p w14:paraId="297A91C8" w14:textId="77777777" w:rsidR="00296975" w:rsidRPr="003432ED" w:rsidRDefault="00296975" w:rsidP="00296975">
      <w:pPr>
        <w:spacing w:line="276" w:lineRule="auto"/>
        <w:rPr>
          <w:noProof/>
          <w:sz w:val="10"/>
          <w:szCs w:val="10"/>
        </w:rPr>
      </w:pPr>
    </w:p>
    <w:p w14:paraId="5E3776F4" w14:textId="77777777" w:rsidR="00296975" w:rsidRDefault="00296975" w:rsidP="00296975">
      <w:pPr>
        <w:tabs>
          <w:tab w:val="left" w:pos="720"/>
          <w:tab w:val="left" w:pos="1440"/>
          <w:tab w:val="left" w:pos="2160"/>
          <w:tab w:val="left" w:pos="2880"/>
          <w:tab w:val="center" w:pos="4595"/>
        </w:tabs>
        <w:jc w:val="both"/>
      </w:pPr>
      <w:r w:rsidRPr="003432ED">
        <w:tab/>
      </w:r>
      <w:r w:rsidRPr="003432ED">
        <w:tab/>
      </w:r>
    </w:p>
    <w:p w14:paraId="10DB4B8E" w14:textId="77777777" w:rsidR="00DB7372" w:rsidRPr="00FC65F8" w:rsidRDefault="00B063B4" w:rsidP="00FC65F8">
      <w:p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B063B4">
        <w:rPr>
          <w:rFonts w:ascii="Times New Roman" w:hAnsi="Times New Roman" w:cs="Times New Roman"/>
          <w:b/>
          <w:bCs/>
          <w:sz w:val="24"/>
          <w:szCs w:val="24"/>
          <w:u w:val="single"/>
          <w:lang w:eastAsia="fr-FR"/>
        </w:rPr>
        <w:t>AVIS A MANIFESTATION D’I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fr-FR"/>
        </w:rPr>
        <w:t>NTERÊT (AMI) N°002/2021/SC/URGP/PRECIS-T</w:t>
      </w:r>
      <w:r w:rsidRPr="00B063B4">
        <w:rPr>
          <w:rFonts w:ascii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A /MAG </w:t>
      </w:r>
    </w:p>
    <w:p w14:paraId="47EE430E" w14:textId="75904A46" w:rsidR="00FC65F8" w:rsidRPr="006A59FA" w:rsidRDefault="00FC65F8" w:rsidP="00FC65F8">
      <w:pPr>
        <w:spacing w:before="120" w:after="120"/>
        <w:ind w:left="-113" w:right="-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A59FA">
        <w:rPr>
          <w:rFonts w:ascii="Times New Roman" w:hAnsi="Times New Roman" w:cs="Times New Roman"/>
          <w:spacing w:val="-3"/>
          <w:sz w:val="24"/>
          <w:szCs w:val="24"/>
        </w:rPr>
        <w:t xml:space="preserve">Dans le cadre </w:t>
      </w:r>
      <w:r w:rsidR="006C460B">
        <w:rPr>
          <w:rFonts w:ascii="Times New Roman" w:hAnsi="Times New Roman" w:cs="Times New Roman"/>
          <w:spacing w:val="-3"/>
          <w:sz w:val="24"/>
          <w:szCs w:val="24"/>
        </w:rPr>
        <w:t xml:space="preserve">des activités du </w:t>
      </w:r>
      <w:r w:rsidR="006C460B" w:rsidRPr="005D60ED">
        <w:rPr>
          <w:rFonts w:ascii="Times New Roman" w:hAnsi="Times New Roman" w:cs="Times New Roman"/>
          <w:b/>
          <w:bCs/>
          <w:spacing w:val="-3"/>
          <w:sz w:val="24"/>
          <w:szCs w:val="24"/>
        </w:rPr>
        <w:t>Projet de renforcement de la Résilience des Communautés rurales a l’Insécurité alimentaire et nutritionnelle au Niger (PRECIS)</w:t>
      </w:r>
      <w:r w:rsidR="006C460B">
        <w:rPr>
          <w:rFonts w:ascii="Times New Roman" w:hAnsi="Times New Roman" w:cs="Times New Roman"/>
          <w:spacing w:val="-3"/>
          <w:sz w:val="24"/>
          <w:szCs w:val="24"/>
        </w:rPr>
        <w:t xml:space="preserve"> et pour </w:t>
      </w:r>
      <w:r w:rsidRPr="006A59FA">
        <w:rPr>
          <w:rFonts w:ascii="Times New Roman" w:hAnsi="Times New Roman" w:cs="Times New Roman"/>
          <w:spacing w:val="-3"/>
          <w:sz w:val="24"/>
          <w:szCs w:val="24"/>
        </w:rPr>
        <w:t xml:space="preserve">la </w:t>
      </w:r>
      <w:r w:rsidRPr="006A59FA">
        <w:rPr>
          <w:rFonts w:ascii="Times New Roman" w:hAnsi="Times New Roman" w:cs="Times New Roman"/>
          <w:b/>
          <w:sz w:val="24"/>
          <w:szCs w:val="24"/>
        </w:rPr>
        <w:t>fou</w:t>
      </w:r>
      <w:r w:rsidRPr="006A59FA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6A59FA">
        <w:rPr>
          <w:rFonts w:ascii="Times New Roman" w:hAnsi="Times New Roman" w:cs="Times New Roman"/>
          <w:b/>
          <w:sz w:val="24"/>
          <w:szCs w:val="24"/>
        </w:rPr>
        <w:t>ni</w:t>
      </w:r>
      <w:r w:rsidRPr="006A59FA">
        <w:rPr>
          <w:rFonts w:ascii="Times New Roman" w:hAnsi="Times New Roman" w:cs="Times New Roman"/>
          <w:b/>
          <w:spacing w:val="1"/>
          <w:sz w:val="24"/>
          <w:szCs w:val="24"/>
        </w:rPr>
        <w:t>t</w:t>
      </w:r>
      <w:r w:rsidRPr="006A59FA">
        <w:rPr>
          <w:rFonts w:ascii="Times New Roman" w:hAnsi="Times New Roman" w:cs="Times New Roman"/>
          <w:b/>
          <w:sz w:val="24"/>
          <w:szCs w:val="24"/>
        </w:rPr>
        <w:t>ure</w:t>
      </w:r>
      <w:r w:rsidRPr="006A59FA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b/>
          <w:sz w:val="24"/>
          <w:szCs w:val="24"/>
        </w:rPr>
        <w:t>de</w:t>
      </w:r>
      <w:r w:rsidRPr="006A59F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b/>
          <w:sz w:val="24"/>
          <w:szCs w:val="24"/>
        </w:rPr>
        <w:t>s</w:t>
      </w:r>
      <w:r w:rsidRPr="006A59FA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6A59FA">
        <w:rPr>
          <w:rFonts w:ascii="Times New Roman" w:hAnsi="Times New Roman" w:cs="Times New Roman"/>
          <w:b/>
          <w:sz w:val="24"/>
          <w:szCs w:val="24"/>
        </w:rPr>
        <w:t>rvic</w:t>
      </w:r>
      <w:r w:rsidRPr="006A59FA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6A59FA">
        <w:rPr>
          <w:rFonts w:ascii="Times New Roman" w:hAnsi="Times New Roman" w:cs="Times New Roman"/>
          <w:b/>
          <w:sz w:val="24"/>
          <w:szCs w:val="24"/>
        </w:rPr>
        <w:t>s</w:t>
      </w:r>
      <w:r w:rsidRPr="006A59FA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b/>
          <w:spacing w:val="-1"/>
          <w:sz w:val="24"/>
          <w:szCs w:val="24"/>
        </w:rPr>
        <w:t>relatifs à la programmation fonctionnelle et technique  d'infrastructures, étude socio-économique, études techniques détaillée</w:t>
      </w:r>
      <w:r w:rsidR="006C460B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6A59FA">
        <w:rPr>
          <w:rFonts w:ascii="Times New Roman" w:hAnsi="Times New Roman" w:cs="Times New Roman"/>
          <w:b/>
          <w:spacing w:val="-1"/>
          <w:sz w:val="24"/>
          <w:szCs w:val="24"/>
        </w:rPr>
        <w:t xml:space="preserve">, étude d'impact environnemental/ social et  élaboration d'un Dossier d'Appel d'Offres (DAO) des travaux de construction et d'aménagement de deux (02) </w:t>
      </w:r>
      <w:r w:rsidR="006C460B" w:rsidRPr="006A59FA">
        <w:rPr>
          <w:rFonts w:ascii="Times New Roman" w:hAnsi="Times New Roman" w:cs="Times New Roman"/>
          <w:b/>
          <w:spacing w:val="-1"/>
          <w:sz w:val="24"/>
          <w:szCs w:val="24"/>
        </w:rPr>
        <w:t>March</w:t>
      </w:r>
      <w:r w:rsidR="006C460B">
        <w:rPr>
          <w:rFonts w:ascii="Times New Roman" w:hAnsi="Times New Roman" w:cs="Times New Roman"/>
          <w:b/>
          <w:spacing w:val="-1"/>
          <w:sz w:val="24"/>
          <w:szCs w:val="24"/>
        </w:rPr>
        <w:t>é</w:t>
      </w:r>
      <w:r w:rsidR="006C460B" w:rsidRPr="006A59FA">
        <w:rPr>
          <w:rFonts w:ascii="Times New Roman" w:hAnsi="Times New Roman" w:cs="Times New Roman"/>
          <w:b/>
          <w:spacing w:val="-1"/>
          <w:sz w:val="24"/>
          <w:szCs w:val="24"/>
        </w:rPr>
        <w:t xml:space="preserve">s </w:t>
      </w:r>
      <w:r w:rsidRPr="006A59FA">
        <w:rPr>
          <w:rFonts w:ascii="Times New Roman" w:hAnsi="Times New Roman" w:cs="Times New Roman"/>
          <w:b/>
          <w:spacing w:val="-1"/>
          <w:sz w:val="24"/>
          <w:szCs w:val="24"/>
        </w:rPr>
        <w:t>de Demi-Gros (MDG) de produits agricoles à TEBARAM ET ABALAK, dans la région de TAHOUA</w:t>
      </w:r>
      <w:r w:rsidRPr="006A59FA">
        <w:rPr>
          <w:rFonts w:ascii="Times New Roman" w:hAnsi="Times New Roman" w:cs="Times New Roman"/>
          <w:spacing w:val="-3"/>
          <w:sz w:val="24"/>
          <w:szCs w:val="24"/>
        </w:rPr>
        <w:t xml:space="preserve"> qui sera  financée par les ressources de l’accord de Prêt signé entre le Gouvernement du Niger et le Fonds International pour le Dév</w:t>
      </w:r>
      <w:r>
        <w:rPr>
          <w:rFonts w:ascii="Times New Roman" w:hAnsi="Times New Roman" w:cs="Times New Roman"/>
          <w:spacing w:val="-3"/>
          <w:sz w:val="24"/>
          <w:szCs w:val="24"/>
        </w:rPr>
        <w:t>eloppement Agricole (FIDA) et le</w:t>
      </w:r>
      <w:r w:rsidRPr="006A59FA">
        <w:rPr>
          <w:rFonts w:ascii="Times New Roman" w:hAnsi="Times New Roman" w:cs="Times New Roman"/>
          <w:spacing w:val="-3"/>
          <w:sz w:val="24"/>
          <w:szCs w:val="24"/>
        </w:rPr>
        <w:t xml:space="preserve"> Budget National</w:t>
      </w:r>
      <w:r>
        <w:rPr>
          <w:rFonts w:ascii="Times New Roman" w:hAnsi="Times New Roman" w:cs="Times New Roman"/>
          <w:spacing w:val="-3"/>
          <w:sz w:val="24"/>
          <w:szCs w:val="24"/>
        </w:rPr>
        <w:t>, l</w:t>
      </w:r>
      <w:r w:rsidRPr="006A59FA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6C460B">
        <w:rPr>
          <w:rFonts w:ascii="Times New Roman" w:hAnsi="Times New Roman" w:cs="Times New Roman"/>
          <w:spacing w:val="-3"/>
          <w:sz w:val="24"/>
          <w:szCs w:val="24"/>
        </w:rPr>
        <w:t xml:space="preserve"> Ministère de l’Agriculture</w:t>
      </w:r>
      <w:r w:rsidRPr="006A59FA">
        <w:rPr>
          <w:rFonts w:ascii="Times New Roman" w:hAnsi="Times New Roman" w:cs="Times New Roman"/>
          <w:spacing w:val="-3"/>
          <w:sz w:val="24"/>
          <w:szCs w:val="24"/>
        </w:rPr>
        <w:t xml:space="preserve"> lance le présent avis à manifestation d’intérêt en vue de présélectionner les consultants qui seront invités à acquérir l</w:t>
      </w:r>
      <w:r w:rsidR="006C460B">
        <w:rPr>
          <w:rFonts w:ascii="Times New Roman" w:hAnsi="Times New Roman" w:cs="Times New Roman"/>
          <w:spacing w:val="-3"/>
          <w:sz w:val="24"/>
          <w:szCs w:val="24"/>
        </w:rPr>
        <w:t>e Dossier de</w:t>
      </w:r>
      <w:r w:rsidRPr="006A59FA">
        <w:rPr>
          <w:rFonts w:ascii="Times New Roman" w:hAnsi="Times New Roman" w:cs="Times New Roman"/>
          <w:spacing w:val="-3"/>
          <w:sz w:val="24"/>
          <w:szCs w:val="24"/>
        </w:rPr>
        <w:t xml:space="preserve"> Demande de proposition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6A59FA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1A8F39F8" w14:textId="77777777" w:rsidR="00FC65F8" w:rsidRPr="006A59FA" w:rsidRDefault="00FC65F8" w:rsidP="00FC65F8">
      <w:pPr>
        <w:spacing w:before="120" w:after="120"/>
        <w:ind w:left="-113" w:right="-3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A59F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A59FA">
        <w:rPr>
          <w:rFonts w:ascii="Times New Roman" w:hAnsi="Times New Roman" w:cs="Times New Roman"/>
          <w:sz w:val="24"/>
          <w:szCs w:val="24"/>
        </w:rPr>
        <w:t>our</w:t>
      </w:r>
      <w:r w:rsidRPr="006A59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ê</w:t>
      </w:r>
      <w:r w:rsidRPr="006A59FA">
        <w:rPr>
          <w:rFonts w:ascii="Times New Roman" w:hAnsi="Times New Roman" w:cs="Times New Roman"/>
          <w:sz w:val="24"/>
          <w:szCs w:val="24"/>
        </w:rPr>
        <w:t>tre</w:t>
      </w:r>
      <w:r w:rsidRPr="006A59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A59FA">
        <w:rPr>
          <w:rFonts w:ascii="Times New Roman" w:hAnsi="Times New Roman" w:cs="Times New Roman"/>
          <w:sz w:val="24"/>
          <w:szCs w:val="24"/>
        </w:rPr>
        <w:t>dm</w:t>
      </w:r>
      <w:r w:rsidRPr="006A59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A59FA">
        <w:rPr>
          <w:rFonts w:ascii="Times New Roman" w:hAnsi="Times New Roman" w:cs="Times New Roman"/>
          <w:sz w:val="24"/>
          <w:szCs w:val="24"/>
        </w:rPr>
        <w:t>s</w:t>
      </w:r>
      <w:r w:rsidRPr="006A59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à</w:t>
      </w:r>
      <w:r w:rsidRPr="006A59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A59FA">
        <w:rPr>
          <w:rFonts w:ascii="Times New Roman" w:hAnsi="Times New Roman" w:cs="Times New Roman"/>
          <w:sz w:val="24"/>
          <w:szCs w:val="24"/>
        </w:rPr>
        <w:t>o</w:t>
      </w:r>
      <w:r w:rsidRPr="006A59F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A59FA">
        <w:rPr>
          <w:rFonts w:ascii="Times New Roman" w:hAnsi="Times New Roman" w:cs="Times New Roman"/>
          <w:sz w:val="24"/>
          <w:szCs w:val="24"/>
        </w:rPr>
        <w:t>ou</w:t>
      </w:r>
      <w:r w:rsidRPr="006A59F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A59FA">
        <w:rPr>
          <w:rFonts w:ascii="Times New Roman" w:hAnsi="Times New Roman" w:cs="Times New Roman"/>
          <w:sz w:val="24"/>
          <w:szCs w:val="24"/>
        </w:rPr>
        <w:t>ir,</w:t>
      </w:r>
      <w:r w:rsidRPr="006A59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les</w:t>
      </w:r>
      <w:r w:rsidRPr="006A59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6A59FA">
        <w:rPr>
          <w:rFonts w:ascii="Times New Roman" w:hAnsi="Times New Roman" w:cs="Times New Roman"/>
          <w:sz w:val="24"/>
          <w:szCs w:val="24"/>
        </w:rPr>
        <w:t>ndidats</w:t>
      </w:r>
      <w:r w:rsidRPr="006A59FA">
        <w:rPr>
          <w:rFonts w:ascii="Times New Roman" w:hAnsi="Times New Roman" w:cs="Times New Roman"/>
          <w:spacing w:val="-12"/>
          <w:sz w:val="24"/>
          <w:szCs w:val="24"/>
        </w:rPr>
        <w:t xml:space="preserve"> d</w:t>
      </w:r>
      <w:r w:rsidRPr="006A59FA">
        <w:rPr>
          <w:rFonts w:ascii="Times New Roman" w:hAnsi="Times New Roman" w:cs="Times New Roman"/>
          <w:sz w:val="24"/>
          <w:szCs w:val="24"/>
        </w:rPr>
        <w:t>oivent</w:t>
      </w:r>
      <w:r w:rsidRPr="006A59F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(i)</w:t>
      </w:r>
      <w:r w:rsidRPr="006A59F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ê</w:t>
      </w:r>
      <w:r w:rsidRPr="006A59FA">
        <w:rPr>
          <w:rFonts w:ascii="Times New Roman" w:hAnsi="Times New Roman" w:cs="Times New Roman"/>
          <w:sz w:val="24"/>
          <w:szCs w:val="24"/>
        </w:rPr>
        <w:t>tre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d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59FA">
        <w:rPr>
          <w:rFonts w:ascii="Times New Roman" w:hAnsi="Times New Roman" w:cs="Times New Roman"/>
          <w:sz w:val="24"/>
          <w:szCs w:val="24"/>
        </w:rPr>
        <w:t>s</w:t>
      </w:r>
      <w:r w:rsidRPr="006A59F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A59FA">
        <w:rPr>
          <w:rFonts w:ascii="Times New Roman" w:hAnsi="Times New Roman" w:cs="Times New Roman"/>
          <w:sz w:val="24"/>
          <w:szCs w:val="24"/>
        </w:rPr>
        <w:t>binets</w:t>
      </w:r>
      <w:r w:rsidRPr="006A59F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ou</w:t>
      </w:r>
      <w:r w:rsidRPr="006A59F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bur</w:t>
      </w:r>
      <w:r w:rsidRPr="006A59F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A59FA">
        <w:rPr>
          <w:rFonts w:ascii="Times New Roman" w:hAnsi="Times New Roman" w:cs="Times New Roman"/>
          <w:sz w:val="24"/>
          <w:szCs w:val="24"/>
        </w:rPr>
        <w:t>ux</w:t>
      </w:r>
      <w:r w:rsidRPr="006A59F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d’</w:t>
      </w:r>
      <w:r w:rsidRPr="006A59FA">
        <w:rPr>
          <w:rFonts w:ascii="Times New Roman" w:hAnsi="Times New Roman" w:cs="Times New Roman"/>
          <w:spacing w:val="-2"/>
          <w:sz w:val="24"/>
          <w:szCs w:val="24"/>
        </w:rPr>
        <w:t>é</w:t>
      </w:r>
      <w:r w:rsidRPr="006A59FA">
        <w:rPr>
          <w:rFonts w:ascii="Times New Roman" w:hAnsi="Times New Roman" w:cs="Times New Roman"/>
          <w:sz w:val="24"/>
          <w:szCs w:val="24"/>
        </w:rPr>
        <w:t>tudes</w:t>
      </w:r>
      <w:r w:rsidRPr="006A59F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A59FA">
        <w:rPr>
          <w:rFonts w:ascii="Times New Roman" w:hAnsi="Times New Roman" w:cs="Times New Roman"/>
          <w:sz w:val="24"/>
          <w:szCs w:val="24"/>
        </w:rPr>
        <w:t>gr</w:t>
      </w:r>
      <w:r w:rsidRPr="006A59FA">
        <w:rPr>
          <w:rFonts w:ascii="Times New Roman" w:hAnsi="Times New Roman" w:cs="Times New Roman"/>
          <w:spacing w:val="-2"/>
          <w:sz w:val="24"/>
          <w:szCs w:val="24"/>
        </w:rPr>
        <w:t>é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6A59FA">
        <w:rPr>
          <w:rFonts w:ascii="Times New Roman" w:hAnsi="Times New Roman" w:cs="Times New Roman"/>
          <w:sz w:val="24"/>
          <w:szCs w:val="24"/>
        </w:rPr>
        <w:t>s</w:t>
      </w:r>
      <w:r w:rsidRPr="006A59F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A59FA">
        <w:rPr>
          <w:rFonts w:ascii="Times New Roman" w:hAnsi="Times New Roman" w:cs="Times New Roman"/>
          <w:sz w:val="24"/>
          <w:szCs w:val="24"/>
        </w:rPr>
        <w:t>r</w:t>
      </w:r>
      <w:r w:rsidRPr="006A59F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l’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A59FA">
        <w:rPr>
          <w:rFonts w:ascii="Times New Roman" w:hAnsi="Times New Roman" w:cs="Times New Roman"/>
          <w:sz w:val="24"/>
          <w:szCs w:val="24"/>
        </w:rPr>
        <w:t>dm</w:t>
      </w:r>
      <w:r w:rsidRPr="006A59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A59FA">
        <w:rPr>
          <w:rFonts w:ascii="Times New Roman" w:hAnsi="Times New Roman" w:cs="Times New Roman"/>
          <w:sz w:val="24"/>
          <w:szCs w:val="24"/>
        </w:rPr>
        <w:t>nis</w:t>
      </w:r>
      <w:r w:rsidRPr="006A59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A59FA">
        <w:rPr>
          <w:rFonts w:ascii="Times New Roman" w:hAnsi="Times New Roman" w:cs="Times New Roman"/>
          <w:sz w:val="24"/>
          <w:szCs w:val="24"/>
        </w:rPr>
        <w:t>r</w:t>
      </w:r>
      <w:r w:rsidRPr="006A59F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A59FA">
        <w:rPr>
          <w:rFonts w:ascii="Times New Roman" w:hAnsi="Times New Roman" w:cs="Times New Roman"/>
          <w:sz w:val="24"/>
          <w:szCs w:val="24"/>
        </w:rPr>
        <w:t>t</w:t>
      </w:r>
      <w:r w:rsidRPr="006A59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A59FA">
        <w:rPr>
          <w:rFonts w:ascii="Times New Roman" w:hAnsi="Times New Roman" w:cs="Times New Roman"/>
          <w:sz w:val="24"/>
          <w:szCs w:val="24"/>
        </w:rPr>
        <w:t>o</w:t>
      </w:r>
      <w:r w:rsidRPr="006A59F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6A59FA">
        <w:rPr>
          <w:rFonts w:ascii="Times New Roman" w:hAnsi="Times New Roman" w:cs="Times New Roman"/>
          <w:sz w:val="24"/>
          <w:szCs w:val="24"/>
        </w:rPr>
        <w:t>,</w:t>
      </w:r>
      <w:r w:rsidRPr="006A59F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(ii)</w:t>
      </w:r>
      <w:r w:rsidRPr="006A59F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ê</w:t>
      </w:r>
      <w:r w:rsidRPr="006A59FA">
        <w:rPr>
          <w:rFonts w:ascii="Times New Roman" w:hAnsi="Times New Roman" w:cs="Times New Roman"/>
          <w:sz w:val="24"/>
          <w:szCs w:val="24"/>
        </w:rPr>
        <w:t>tre</w:t>
      </w:r>
      <w:r w:rsidRPr="006A59F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59FA">
        <w:rPr>
          <w:rFonts w:ascii="Times New Roman" w:hAnsi="Times New Roman" w:cs="Times New Roman"/>
          <w:sz w:val="24"/>
          <w:szCs w:val="24"/>
        </w:rPr>
        <w:t>n</w:t>
      </w:r>
      <w:r w:rsidRPr="006A59F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rè</w:t>
      </w:r>
      <w:r w:rsidRPr="006A59F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A59F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6A59FA">
        <w:rPr>
          <w:rFonts w:ascii="Times New Roman" w:hAnsi="Times New Roman" w:cs="Times New Roman"/>
          <w:sz w:val="24"/>
          <w:szCs w:val="24"/>
        </w:rPr>
        <w:t>e vi</w:t>
      </w:r>
      <w:r w:rsidRPr="006A59F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-à-</w:t>
      </w:r>
      <w:r w:rsidRPr="006A59FA">
        <w:rPr>
          <w:rFonts w:ascii="Times New Roman" w:hAnsi="Times New Roman" w:cs="Times New Roman"/>
          <w:sz w:val="24"/>
          <w:szCs w:val="24"/>
        </w:rPr>
        <w:t>vis</w:t>
      </w:r>
      <w:r w:rsidRPr="006A59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de</w:t>
      </w:r>
      <w:r w:rsidRPr="006A59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l’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A59FA">
        <w:rPr>
          <w:rFonts w:ascii="Times New Roman" w:hAnsi="Times New Roman" w:cs="Times New Roman"/>
          <w:sz w:val="24"/>
          <w:szCs w:val="24"/>
        </w:rPr>
        <w:t>dm</w:t>
      </w:r>
      <w:r w:rsidRPr="006A59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A59FA">
        <w:rPr>
          <w:rFonts w:ascii="Times New Roman" w:hAnsi="Times New Roman" w:cs="Times New Roman"/>
          <w:sz w:val="24"/>
          <w:szCs w:val="24"/>
        </w:rPr>
        <w:t>nis</w:t>
      </w:r>
      <w:r w:rsidRPr="006A59FA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A59FA">
        <w:rPr>
          <w:rFonts w:ascii="Times New Roman" w:hAnsi="Times New Roman" w:cs="Times New Roman"/>
          <w:sz w:val="24"/>
          <w:szCs w:val="24"/>
        </w:rPr>
        <w:t>t</w:t>
      </w:r>
      <w:r w:rsidRPr="006A59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A59FA">
        <w:rPr>
          <w:rFonts w:ascii="Times New Roman" w:hAnsi="Times New Roman" w:cs="Times New Roman"/>
          <w:sz w:val="24"/>
          <w:szCs w:val="24"/>
        </w:rPr>
        <w:t>on,</w:t>
      </w:r>
      <w:r w:rsidRPr="006A59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59FA">
        <w:rPr>
          <w:rFonts w:ascii="Times New Roman" w:hAnsi="Times New Roman" w:cs="Times New Roman"/>
          <w:sz w:val="24"/>
          <w:szCs w:val="24"/>
        </w:rPr>
        <w:t>t</w:t>
      </w:r>
      <w:r w:rsidRPr="006A59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(iii)</w:t>
      </w:r>
      <w:r w:rsidRPr="006A59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ne</w:t>
      </w:r>
      <w:r w:rsidRPr="006A59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p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A59FA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6A59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ê</w:t>
      </w:r>
      <w:r w:rsidRPr="006A59F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6A59FA">
        <w:rPr>
          <w:rFonts w:ascii="Times New Roman" w:hAnsi="Times New Roman" w:cs="Times New Roman"/>
          <w:sz w:val="24"/>
          <w:szCs w:val="24"/>
        </w:rPr>
        <w:t>re sous</w:t>
      </w:r>
      <w:r w:rsidRPr="006A59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le</w:t>
      </w:r>
      <w:r w:rsidRPr="006A59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A59FA">
        <w:rPr>
          <w:rFonts w:ascii="Times New Roman" w:hAnsi="Times New Roman" w:cs="Times New Roman"/>
          <w:sz w:val="24"/>
          <w:szCs w:val="24"/>
        </w:rPr>
        <w:t>oup</w:t>
      </w:r>
      <w:r w:rsidRPr="006A59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d’u</w:t>
      </w:r>
      <w:r w:rsidRPr="006A59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59FA">
        <w:rPr>
          <w:rFonts w:ascii="Times New Roman" w:hAnsi="Times New Roman" w:cs="Times New Roman"/>
          <w:sz w:val="24"/>
          <w:szCs w:val="24"/>
        </w:rPr>
        <w:t>e</w:t>
      </w:r>
      <w:r w:rsidRPr="006A59F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suspension,</w:t>
      </w:r>
      <w:r w:rsidRPr="006A59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d’une in</w:t>
      </w:r>
      <w:r w:rsidRPr="006A59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59FA">
        <w:rPr>
          <w:rFonts w:ascii="Times New Roman" w:hAnsi="Times New Roman" w:cs="Times New Roman"/>
          <w:sz w:val="24"/>
          <w:szCs w:val="24"/>
        </w:rPr>
        <w:t>rdi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A59FA">
        <w:rPr>
          <w:rFonts w:ascii="Times New Roman" w:hAnsi="Times New Roman" w:cs="Times New Roman"/>
          <w:sz w:val="24"/>
          <w:szCs w:val="24"/>
        </w:rPr>
        <w:t>t</w:t>
      </w:r>
      <w:r w:rsidRPr="006A59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A59FA">
        <w:rPr>
          <w:rFonts w:ascii="Times New Roman" w:hAnsi="Times New Roman" w:cs="Times New Roman"/>
          <w:sz w:val="24"/>
          <w:szCs w:val="24"/>
        </w:rPr>
        <w:t>on, d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6A59FA">
        <w:rPr>
          <w:rFonts w:ascii="Times New Roman" w:hAnsi="Times New Roman" w:cs="Times New Roman"/>
          <w:sz w:val="24"/>
          <w:szCs w:val="24"/>
        </w:rPr>
        <w:t>une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6A59F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A59FA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6A59FA">
        <w:rPr>
          <w:rFonts w:ascii="Times New Roman" w:hAnsi="Times New Roman" w:cs="Times New Roman"/>
          <w:sz w:val="24"/>
          <w:szCs w:val="24"/>
        </w:rPr>
        <w:t>usion ou d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6A59FA">
        <w:rPr>
          <w:rFonts w:ascii="Times New Roman" w:hAnsi="Times New Roman" w:cs="Times New Roman"/>
          <w:sz w:val="24"/>
          <w:szCs w:val="24"/>
        </w:rPr>
        <w:t>une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l</w:t>
      </w:r>
      <w:r w:rsidRPr="006A59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A59FA">
        <w:rPr>
          <w:rFonts w:ascii="Times New Roman" w:hAnsi="Times New Roman" w:cs="Times New Roman"/>
          <w:sz w:val="24"/>
          <w:szCs w:val="24"/>
        </w:rPr>
        <w:t>quidation des bi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59FA">
        <w:rPr>
          <w:rFonts w:ascii="Times New Roman" w:hAnsi="Times New Roman" w:cs="Times New Roman"/>
          <w:sz w:val="24"/>
          <w:szCs w:val="24"/>
        </w:rPr>
        <w:t>ns.</w:t>
      </w:r>
      <w:r w:rsidRPr="006A59F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14:paraId="03AF9652" w14:textId="3B7E469B" w:rsidR="00FC65F8" w:rsidRPr="006A59FA" w:rsidRDefault="00FC65F8" w:rsidP="00FC65F8">
      <w:pPr>
        <w:spacing w:before="120" w:after="120"/>
        <w:ind w:left="-113" w:right="-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A59FA">
        <w:rPr>
          <w:rFonts w:ascii="Times New Roman" w:hAnsi="Times New Roman" w:cs="Times New Roman"/>
          <w:spacing w:val="-3"/>
          <w:sz w:val="24"/>
          <w:szCs w:val="24"/>
        </w:rPr>
        <w:t xml:space="preserve">Le consultant sera choisi par la méthode de Sélection Fondée sur la Qualité et le Coût (SFQC) conformément aux procédures qui seront décrites dans </w:t>
      </w:r>
      <w:r w:rsidR="006C460B" w:rsidRPr="006A59F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6C460B">
        <w:rPr>
          <w:rFonts w:ascii="Times New Roman" w:hAnsi="Times New Roman" w:cs="Times New Roman"/>
          <w:spacing w:val="-3"/>
          <w:sz w:val="24"/>
          <w:szCs w:val="24"/>
        </w:rPr>
        <w:t>e Dossier de</w:t>
      </w:r>
      <w:r w:rsidR="006C460B" w:rsidRPr="006A59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pacing w:val="-3"/>
          <w:sz w:val="24"/>
          <w:szCs w:val="24"/>
        </w:rPr>
        <w:t>Demande de Proposition</w:t>
      </w:r>
      <w:r w:rsidR="006C460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6A59FA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02267640" w14:textId="5DADE2FD" w:rsidR="00FC65F8" w:rsidRPr="00191210" w:rsidRDefault="00FC65F8" w:rsidP="00FC65F8">
      <w:pPr>
        <w:spacing w:before="120" w:after="120"/>
        <w:ind w:left="-113" w:right="-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Le Minist</w:t>
      </w:r>
      <w:r w:rsidR="006C460B">
        <w:rPr>
          <w:rFonts w:ascii="Times New Roman" w:hAnsi="Times New Roman" w:cs="Times New Roman"/>
          <w:spacing w:val="-3"/>
          <w:sz w:val="24"/>
          <w:szCs w:val="24"/>
        </w:rPr>
        <w:t>è</w:t>
      </w:r>
      <w:r>
        <w:rPr>
          <w:rFonts w:ascii="Times New Roman" w:hAnsi="Times New Roman" w:cs="Times New Roman"/>
          <w:spacing w:val="-3"/>
          <w:sz w:val="24"/>
          <w:szCs w:val="24"/>
        </w:rPr>
        <w:t>re</w:t>
      </w:r>
      <w:r w:rsidRPr="001C0A1F">
        <w:rPr>
          <w:rFonts w:ascii="Times New Roman" w:hAnsi="Times New Roman" w:cs="Times New Roman"/>
          <w:spacing w:val="-3"/>
          <w:sz w:val="24"/>
          <w:szCs w:val="24"/>
        </w:rPr>
        <w:t xml:space="preserve"> d</w:t>
      </w:r>
      <w:r>
        <w:rPr>
          <w:rFonts w:ascii="Times New Roman" w:hAnsi="Times New Roman" w:cs="Times New Roman"/>
          <w:spacing w:val="-3"/>
          <w:sz w:val="24"/>
          <w:szCs w:val="24"/>
        </w:rPr>
        <w:t>e l’Agriculture invite t</w:t>
      </w:r>
      <w:r w:rsidRPr="00191210">
        <w:rPr>
          <w:rFonts w:ascii="Times New Roman" w:hAnsi="Times New Roman" w:cs="Times New Roman"/>
          <w:spacing w:val="-3"/>
          <w:sz w:val="24"/>
          <w:szCs w:val="24"/>
        </w:rPr>
        <w:t xml:space="preserve">out candidat intéressé par le présent avis, </w:t>
      </w:r>
      <w:r w:rsidR="006C460B">
        <w:rPr>
          <w:rFonts w:ascii="Times New Roman" w:hAnsi="Times New Roman" w:cs="Times New Roman"/>
          <w:spacing w:val="-3"/>
          <w:sz w:val="24"/>
          <w:szCs w:val="24"/>
        </w:rPr>
        <w:t>à</w:t>
      </w:r>
      <w:r w:rsidR="006C460B" w:rsidRPr="001912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1210">
        <w:rPr>
          <w:rFonts w:ascii="Times New Roman" w:hAnsi="Times New Roman" w:cs="Times New Roman"/>
          <w:spacing w:val="-3"/>
          <w:sz w:val="24"/>
          <w:szCs w:val="24"/>
        </w:rPr>
        <w:t>acquérir gratuitement un jeu complet du doss</w:t>
      </w:r>
      <w:r>
        <w:rPr>
          <w:rFonts w:ascii="Times New Roman" w:hAnsi="Times New Roman" w:cs="Times New Roman"/>
          <w:spacing w:val="-3"/>
          <w:sz w:val="24"/>
          <w:szCs w:val="24"/>
        </w:rPr>
        <w:t>ier de candidature auprès de</w:t>
      </w:r>
      <w:r w:rsidRPr="001912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C460B">
        <w:rPr>
          <w:rFonts w:ascii="Times New Roman" w:hAnsi="Times New Roman" w:cs="Times New Roman"/>
          <w:spacing w:val="-3"/>
          <w:sz w:val="24"/>
          <w:szCs w:val="24"/>
        </w:rPr>
        <w:t>l’</w:t>
      </w:r>
      <w:r w:rsidRPr="00191210">
        <w:rPr>
          <w:rFonts w:ascii="Times New Roman" w:hAnsi="Times New Roman" w:cs="Times New Roman"/>
          <w:spacing w:val="-3"/>
          <w:sz w:val="24"/>
          <w:szCs w:val="24"/>
        </w:rPr>
        <w:t>Unité Régional</w:t>
      </w:r>
      <w:r>
        <w:rPr>
          <w:rFonts w:ascii="Times New Roman" w:hAnsi="Times New Roman" w:cs="Times New Roman"/>
          <w:spacing w:val="-3"/>
          <w:sz w:val="24"/>
          <w:szCs w:val="24"/>
        </w:rPr>
        <w:t>e de Gestion du Projet (URGP) à</w:t>
      </w:r>
      <w:r w:rsidRPr="00191210">
        <w:rPr>
          <w:rFonts w:ascii="Times New Roman" w:hAnsi="Times New Roman" w:cs="Times New Roman"/>
          <w:spacing w:val="-3"/>
          <w:sz w:val="24"/>
          <w:szCs w:val="24"/>
        </w:rPr>
        <w:t xml:space="preserve"> Tahoua ; Email: urgp.tahoua@prodaf.net / Téléphone: 20 611 067)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1210">
        <w:rPr>
          <w:rFonts w:ascii="Times New Roman" w:hAnsi="Times New Roman" w:cs="Times New Roman"/>
          <w:spacing w:val="-3"/>
          <w:sz w:val="24"/>
          <w:szCs w:val="24"/>
        </w:rPr>
        <w:t xml:space="preserve">ou à la Cellule Nationale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de Représentation et </w:t>
      </w:r>
      <w:r w:rsidRPr="00191210">
        <w:rPr>
          <w:rFonts w:ascii="Times New Roman" w:hAnsi="Times New Roman" w:cs="Times New Roman"/>
          <w:spacing w:val="-3"/>
          <w:sz w:val="24"/>
          <w:szCs w:val="24"/>
        </w:rPr>
        <w:t>d’Assistance Technique (CEN</w:t>
      </w:r>
      <w:r>
        <w:rPr>
          <w:rFonts w:ascii="Times New Roman" w:hAnsi="Times New Roman" w:cs="Times New Roman"/>
          <w:spacing w:val="-3"/>
          <w:sz w:val="24"/>
          <w:szCs w:val="24"/>
        </w:rPr>
        <w:t>RAT/PRECIS</w:t>
      </w:r>
      <w:r w:rsidRPr="00191210">
        <w:rPr>
          <w:rFonts w:ascii="Times New Roman" w:hAnsi="Times New Roman" w:cs="Times New Roman"/>
          <w:spacing w:val="-3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de Niamey, </w:t>
      </w:r>
      <w:r w:rsidRPr="00191210">
        <w:rPr>
          <w:rFonts w:ascii="Times New Roman" w:hAnsi="Times New Roman" w:cs="Times New Roman"/>
          <w:spacing w:val="-3"/>
          <w:sz w:val="24"/>
          <w:szCs w:val="24"/>
        </w:rPr>
        <w:t>sis au Quartier KOUARA KANO</w:t>
      </w:r>
      <w:r>
        <w:rPr>
          <w:rFonts w:ascii="Times New Roman" w:hAnsi="Times New Roman" w:cs="Times New Roman"/>
          <w:spacing w:val="-3"/>
          <w:sz w:val="24"/>
          <w:szCs w:val="24"/>
        </w:rPr>
        <w:t>, (d</w:t>
      </w:r>
      <w:r w:rsidR="006C460B">
        <w:rPr>
          <w:rFonts w:ascii="Times New Roman" w:hAnsi="Times New Roman" w:cs="Times New Roman"/>
          <w:spacing w:val="-3"/>
          <w:sz w:val="24"/>
          <w:szCs w:val="24"/>
        </w:rPr>
        <w:t>ans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l’enceinte </w:t>
      </w:r>
      <w:r w:rsidR="006C460B">
        <w:rPr>
          <w:rFonts w:ascii="Times New Roman" w:hAnsi="Times New Roman" w:cs="Times New Roman"/>
          <w:spacing w:val="-3"/>
          <w:sz w:val="24"/>
          <w:szCs w:val="24"/>
        </w:rPr>
        <w:t xml:space="preserve">de l’ancien </w:t>
      </w:r>
      <w:r>
        <w:rPr>
          <w:rFonts w:ascii="Times New Roman" w:hAnsi="Times New Roman" w:cs="Times New Roman"/>
          <w:spacing w:val="-3"/>
          <w:sz w:val="24"/>
          <w:szCs w:val="24"/>
        </w:rPr>
        <w:t>PAC III</w:t>
      </w:r>
      <w:r w:rsidR="006C460B">
        <w:rPr>
          <w:rFonts w:ascii="Times New Roman" w:hAnsi="Times New Roman" w:cs="Times New Roman"/>
          <w:spacing w:val="-3"/>
          <w:sz w:val="24"/>
          <w:szCs w:val="24"/>
        </w:rPr>
        <w:t xml:space="preserve"> ou PIMELAN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191210">
        <w:rPr>
          <w:rFonts w:ascii="Times New Roman" w:hAnsi="Times New Roman" w:cs="Times New Roman"/>
          <w:spacing w:val="-3"/>
          <w:sz w:val="24"/>
          <w:szCs w:val="24"/>
        </w:rPr>
        <w:t xml:space="preserve">, Téléphone 20.35.18.49, durant les heures officielles d’ouverture. </w:t>
      </w:r>
    </w:p>
    <w:p w14:paraId="18931A0B" w14:textId="77777777" w:rsidR="00FC65F8" w:rsidRPr="006A59FA" w:rsidRDefault="00FC65F8" w:rsidP="00FC65F8">
      <w:pPr>
        <w:spacing w:before="120" w:after="120"/>
        <w:ind w:left="-113" w:right="-34"/>
        <w:jc w:val="both"/>
        <w:rPr>
          <w:rFonts w:ascii="Times New Roman" w:hAnsi="Times New Roman" w:cs="Times New Roman"/>
          <w:sz w:val="24"/>
          <w:szCs w:val="24"/>
        </w:rPr>
      </w:pPr>
      <w:r w:rsidRPr="00191210">
        <w:rPr>
          <w:rFonts w:ascii="Times New Roman" w:hAnsi="Times New Roman" w:cs="Times New Roman"/>
          <w:spacing w:val="-3"/>
          <w:sz w:val="24"/>
          <w:szCs w:val="24"/>
        </w:rPr>
        <w:t xml:space="preserve">Des renseignements complémentaires pourront être obtenus auprès de l’Unité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Régionale </w:t>
      </w:r>
      <w:r w:rsidRPr="00191210">
        <w:rPr>
          <w:rFonts w:ascii="Times New Roman" w:hAnsi="Times New Roman" w:cs="Times New Roman"/>
          <w:spacing w:val="-3"/>
          <w:sz w:val="24"/>
          <w:szCs w:val="24"/>
        </w:rPr>
        <w:t xml:space="preserve">de Gestion du Projet (Téléphone : +227 20 611 067 – Email : urgp.tahoua@prodaf.net avec copies à </w:t>
      </w:r>
      <w:hyperlink r:id="rId8" w:history="1">
        <w:r w:rsidRPr="006A59FA">
          <w:rPr>
            <w:rStyle w:val="Lienhypertexte"/>
            <w:rFonts w:ascii="Times New Roman" w:hAnsi="Times New Roman" w:cs="Times New Roman"/>
            <w:sz w:val="24"/>
            <w:szCs w:val="24"/>
          </w:rPr>
          <w:t>sarki.souley@prodaf.net</w:t>
        </w:r>
      </w:hyperlink>
      <w:r>
        <w:rPr>
          <w:rStyle w:val="Lienhypertexte"/>
          <w:rFonts w:ascii="Times New Roman" w:hAnsi="Times New Roman" w:cs="Times New Roman"/>
          <w:sz w:val="24"/>
          <w:szCs w:val="24"/>
        </w:rPr>
        <w:t xml:space="preserve"> </w:t>
      </w:r>
      <w:r w:rsidRPr="00191210">
        <w:rPr>
          <w:rFonts w:ascii="Times New Roman" w:hAnsi="Times New Roman" w:cs="Times New Roman"/>
          <w:spacing w:val="-3"/>
          <w:sz w:val="24"/>
          <w:szCs w:val="24"/>
        </w:rPr>
        <w:t xml:space="preserve">et </w:t>
      </w:r>
      <w:hyperlink r:id="rId9" w:history="1">
        <w:r w:rsidRPr="00452207">
          <w:rPr>
            <w:rStyle w:val="Lienhypertexte"/>
            <w:rFonts w:ascii="Times New Roman" w:hAnsi="Times New Roman" w:cs="Times New Roman"/>
            <w:spacing w:val="-3"/>
            <w:sz w:val="24"/>
            <w:szCs w:val="24"/>
          </w:rPr>
          <w:t>bodo.marou@prodaf.net</w:t>
        </w:r>
      </w:hyperlink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6A59F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</w:p>
    <w:p w14:paraId="5E5AD297" w14:textId="6B4BC011" w:rsidR="00FC65F8" w:rsidRPr="006A59FA" w:rsidRDefault="00FC65F8" w:rsidP="00FC65F8">
      <w:pPr>
        <w:spacing w:before="120" w:after="120"/>
        <w:ind w:left="-113" w:right="-34"/>
        <w:jc w:val="both"/>
        <w:rPr>
          <w:rFonts w:ascii="Times New Roman" w:hAnsi="Times New Roman" w:cs="Times New Roman"/>
          <w:sz w:val="24"/>
          <w:szCs w:val="24"/>
        </w:rPr>
      </w:pPr>
      <w:r w:rsidRPr="006A59F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59FA">
        <w:rPr>
          <w:rFonts w:ascii="Times New Roman" w:hAnsi="Times New Roman" w:cs="Times New Roman"/>
          <w:sz w:val="24"/>
          <w:szCs w:val="24"/>
        </w:rPr>
        <w:t>s</w:t>
      </w:r>
      <w:r w:rsidRPr="006A59F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lett</w:t>
      </w:r>
      <w:r w:rsidRPr="006A59F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59FA">
        <w:rPr>
          <w:rFonts w:ascii="Times New Roman" w:hAnsi="Times New Roman" w:cs="Times New Roman"/>
          <w:sz w:val="24"/>
          <w:szCs w:val="24"/>
        </w:rPr>
        <w:t>s</w:t>
      </w:r>
      <w:r w:rsidRPr="006A59F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de</w:t>
      </w:r>
      <w:r w:rsidRPr="006A59F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mani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fe</w:t>
      </w:r>
      <w:r w:rsidRPr="006A59FA">
        <w:rPr>
          <w:rFonts w:ascii="Times New Roman" w:hAnsi="Times New Roman" w:cs="Times New Roman"/>
          <w:sz w:val="24"/>
          <w:szCs w:val="24"/>
        </w:rPr>
        <w:t>sta</w:t>
      </w:r>
      <w:r w:rsidRPr="006A59F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6A59FA">
        <w:rPr>
          <w:rFonts w:ascii="Times New Roman" w:hAnsi="Times New Roman" w:cs="Times New Roman"/>
          <w:sz w:val="24"/>
          <w:szCs w:val="24"/>
        </w:rPr>
        <w:t>ion</w:t>
      </w:r>
      <w:r w:rsidRPr="006A59F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d’int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6A59FA">
        <w:rPr>
          <w:rFonts w:ascii="Times New Roman" w:hAnsi="Times New Roman" w:cs="Times New Roman"/>
          <w:sz w:val="24"/>
          <w:szCs w:val="24"/>
        </w:rPr>
        <w:t>r</w:t>
      </w:r>
      <w:r w:rsidRPr="006A59FA">
        <w:rPr>
          <w:rFonts w:ascii="Times New Roman" w:hAnsi="Times New Roman" w:cs="Times New Roman"/>
          <w:spacing w:val="-2"/>
          <w:sz w:val="24"/>
          <w:szCs w:val="24"/>
        </w:rPr>
        <w:t>ê</w:t>
      </w:r>
      <w:r w:rsidRPr="006A59FA">
        <w:rPr>
          <w:rFonts w:ascii="Times New Roman" w:hAnsi="Times New Roman" w:cs="Times New Roman"/>
          <w:sz w:val="24"/>
          <w:szCs w:val="24"/>
        </w:rPr>
        <w:t>t,</w:t>
      </w:r>
      <w:r w:rsidRPr="006A59F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r</w:t>
      </w:r>
      <w:r w:rsidRPr="006A59FA">
        <w:rPr>
          <w:rFonts w:ascii="Times New Roman" w:hAnsi="Times New Roman" w:cs="Times New Roman"/>
          <w:spacing w:val="-2"/>
          <w:sz w:val="24"/>
          <w:szCs w:val="24"/>
        </w:rPr>
        <w:t>é</w:t>
      </w:r>
      <w:r w:rsidRPr="006A59FA">
        <w:rPr>
          <w:rFonts w:ascii="Times New Roman" w:hAnsi="Times New Roman" w:cs="Times New Roman"/>
          <w:sz w:val="24"/>
          <w:szCs w:val="24"/>
        </w:rPr>
        <w:t>d</w:t>
      </w:r>
      <w:r w:rsidRPr="006A59F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6A59F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ée</w:t>
      </w:r>
      <w:r w:rsidRPr="006A59FA">
        <w:rPr>
          <w:rFonts w:ascii="Times New Roman" w:hAnsi="Times New Roman" w:cs="Times New Roman"/>
          <w:sz w:val="24"/>
          <w:szCs w:val="24"/>
        </w:rPr>
        <w:t>s</w:t>
      </w:r>
      <w:r w:rsidRPr="006A59F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59FA">
        <w:rPr>
          <w:rFonts w:ascii="Times New Roman" w:hAnsi="Times New Roman" w:cs="Times New Roman"/>
          <w:sz w:val="24"/>
          <w:szCs w:val="24"/>
        </w:rPr>
        <w:t>n</w:t>
      </w:r>
      <w:r w:rsidRPr="006A59F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f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6A59FA">
        <w:rPr>
          <w:rFonts w:ascii="Times New Roman" w:hAnsi="Times New Roman" w:cs="Times New Roman"/>
          <w:sz w:val="24"/>
          <w:szCs w:val="24"/>
        </w:rPr>
        <w:t>n</w:t>
      </w:r>
      <w:r w:rsidRPr="006A59F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A59FA">
        <w:rPr>
          <w:rFonts w:ascii="Times New Roman" w:hAnsi="Times New Roman" w:cs="Times New Roman"/>
          <w:sz w:val="24"/>
          <w:szCs w:val="24"/>
        </w:rPr>
        <w:t>is</w:t>
      </w:r>
      <w:r w:rsidRPr="006A59F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59FA">
        <w:rPr>
          <w:rFonts w:ascii="Times New Roman" w:hAnsi="Times New Roman" w:cs="Times New Roman"/>
          <w:sz w:val="24"/>
          <w:szCs w:val="24"/>
        </w:rPr>
        <w:t>t</w:t>
      </w:r>
      <w:r w:rsidRPr="006A59F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acc</w:t>
      </w:r>
      <w:r w:rsidRPr="006A59FA">
        <w:rPr>
          <w:rFonts w:ascii="Times New Roman" w:hAnsi="Times New Roman" w:cs="Times New Roman"/>
          <w:sz w:val="24"/>
          <w:szCs w:val="24"/>
        </w:rPr>
        <w:t>omp</w:t>
      </w:r>
      <w:r w:rsidRPr="006A59F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6A59F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A59F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6A59FA">
        <w:rPr>
          <w:rFonts w:ascii="Times New Roman" w:hAnsi="Times New Roman" w:cs="Times New Roman"/>
          <w:spacing w:val="1"/>
          <w:sz w:val="24"/>
          <w:szCs w:val="24"/>
        </w:rPr>
        <w:t>é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59FA">
        <w:rPr>
          <w:rFonts w:ascii="Times New Roman" w:hAnsi="Times New Roman" w:cs="Times New Roman"/>
          <w:sz w:val="24"/>
          <w:szCs w:val="24"/>
        </w:rPr>
        <w:t>s</w:t>
      </w:r>
      <w:r w:rsidRPr="006A59F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d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59FA">
        <w:rPr>
          <w:rFonts w:ascii="Times New Roman" w:hAnsi="Times New Roman" w:cs="Times New Roman"/>
          <w:sz w:val="24"/>
          <w:szCs w:val="24"/>
        </w:rPr>
        <w:t>s</w:t>
      </w:r>
      <w:r w:rsidRPr="006A59F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do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A59FA">
        <w:rPr>
          <w:rFonts w:ascii="Times New Roman" w:hAnsi="Times New Roman" w:cs="Times New Roman"/>
          <w:sz w:val="24"/>
          <w:szCs w:val="24"/>
        </w:rPr>
        <w:t>uments ind</w:t>
      </w:r>
      <w:r w:rsidRPr="006A59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A59FA">
        <w:rPr>
          <w:rFonts w:ascii="Times New Roman" w:hAnsi="Times New Roman" w:cs="Times New Roman"/>
          <w:sz w:val="24"/>
          <w:szCs w:val="24"/>
        </w:rPr>
        <w:t>qu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6A59FA">
        <w:rPr>
          <w:rFonts w:ascii="Times New Roman" w:hAnsi="Times New Roman" w:cs="Times New Roman"/>
          <w:sz w:val="24"/>
          <w:szCs w:val="24"/>
        </w:rPr>
        <w:t>s</w:t>
      </w:r>
      <w:r w:rsidRPr="006A59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A59FA">
        <w:rPr>
          <w:rFonts w:ascii="Times New Roman" w:hAnsi="Times New Roman" w:cs="Times New Roman"/>
          <w:sz w:val="24"/>
          <w:szCs w:val="24"/>
        </w:rPr>
        <w:t>u</w:t>
      </w:r>
      <w:r w:rsidRPr="006A59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Doss</w:t>
      </w:r>
      <w:r w:rsidRPr="006A59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59FA">
        <w:rPr>
          <w:rFonts w:ascii="Times New Roman" w:hAnsi="Times New Roman" w:cs="Times New Roman"/>
          <w:sz w:val="24"/>
          <w:szCs w:val="24"/>
        </w:rPr>
        <w:t>r</w:t>
      </w:r>
      <w:r w:rsidRPr="006A59F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de</w:t>
      </w:r>
      <w:r w:rsidRPr="006A59F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Pr</w:t>
      </w:r>
      <w:r w:rsidRPr="006A59FA">
        <w:rPr>
          <w:rFonts w:ascii="Times New Roman" w:hAnsi="Times New Roman" w:cs="Times New Roman"/>
          <w:spacing w:val="-2"/>
          <w:sz w:val="24"/>
          <w:szCs w:val="24"/>
        </w:rPr>
        <w:t>é</w:t>
      </w:r>
      <w:r w:rsidRPr="006A59FA">
        <w:rPr>
          <w:rFonts w:ascii="Times New Roman" w:hAnsi="Times New Roman" w:cs="Times New Roman"/>
          <w:sz w:val="24"/>
          <w:szCs w:val="24"/>
        </w:rPr>
        <w:t>s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6A59FA">
        <w:rPr>
          <w:rFonts w:ascii="Times New Roman" w:hAnsi="Times New Roman" w:cs="Times New Roman"/>
          <w:sz w:val="24"/>
          <w:szCs w:val="24"/>
        </w:rPr>
        <w:t>l</w:t>
      </w:r>
      <w:r w:rsidRPr="006A59F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A59FA">
        <w:rPr>
          <w:rFonts w:ascii="Times New Roman" w:hAnsi="Times New Roman" w:cs="Times New Roman"/>
          <w:sz w:val="24"/>
          <w:szCs w:val="24"/>
        </w:rPr>
        <w:t>t</w:t>
      </w:r>
      <w:r w:rsidRPr="006A59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A59FA">
        <w:rPr>
          <w:rFonts w:ascii="Times New Roman" w:hAnsi="Times New Roman" w:cs="Times New Roman"/>
          <w:sz w:val="24"/>
          <w:szCs w:val="24"/>
        </w:rPr>
        <w:t>on (DP),</w:t>
      </w:r>
      <w:r w:rsidRPr="006A59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doivent</w:t>
      </w:r>
      <w:r w:rsidRPr="006A59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p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A59F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A59FA">
        <w:rPr>
          <w:rFonts w:ascii="Times New Roman" w:hAnsi="Times New Roman" w:cs="Times New Roman"/>
          <w:sz w:val="24"/>
          <w:szCs w:val="24"/>
        </w:rPr>
        <w:t>v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59FA">
        <w:rPr>
          <w:rFonts w:ascii="Times New Roman" w:hAnsi="Times New Roman" w:cs="Times New Roman"/>
          <w:sz w:val="24"/>
          <w:szCs w:val="24"/>
        </w:rPr>
        <w:t>nir</w:t>
      </w:r>
      <w:r w:rsidRPr="006A59F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sous</w:t>
      </w:r>
      <w:r w:rsidRPr="006A59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pl</w:t>
      </w:r>
      <w:r w:rsidRPr="006A59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A59FA">
        <w:rPr>
          <w:rFonts w:ascii="Times New Roman" w:hAnsi="Times New Roman" w:cs="Times New Roman"/>
          <w:sz w:val="24"/>
          <w:szCs w:val="24"/>
        </w:rPr>
        <w:t>s</w:t>
      </w:r>
      <w:r w:rsidRPr="006A59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f</w:t>
      </w:r>
      <w:r w:rsidRPr="006A59F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A59FA">
        <w:rPr>
          <w:rFonts w:ascii="Times New Roman" w:hAnsi="Times New Roman" w:cs="Times New Roman"/>
          <w:sz w:val="24"/>
          <w:szCs w:val="24"/>
        </w:rPr>
        <w:t>rm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6A59FA">
        <w:rPr>
          <w:rFonts w:ascii="Times New Roman" w:hAnsi="Times New Roman" w:cs="Times New Roman"/>
          <w:sz w:val="24"/>
          <w:szCs w:val="24"/>
        </w:rPr>
        <w:t>s</w:t>
      </w:r>
      <w:r w:rsidRPr="006A59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A59FA">
        <w:rPr>
          <w:rFonts w:ascii="Times New Roman" w:hAnsi="Times New Roman" w:cs="Times New Roman"/>
          <w:sz w:val="24"/>
          <w:szCs w:val="24"/>
        </w:rPr>
        <w:t>t</w:t>
      </w:r>
      <w:r w:rsidRPr="006A59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port</w:t>
      </w:r>
      <w:r w:rsidRPr="006A59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59FA">
        <w:rPr>
          <w:rFonts w:ascii="Times New Roman" w:hAnsi="Times New Roman" w:cs="Times New Roman"/>
          <w:sz w:val="24"/>
          <w:szCs w:val="24"/>
        </w:rPr>
        <w:t>r</w:t>
      </w:r>
      <w:r w:rsidRPr="006A59F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>la</w:t>
      </w:r>
      <w:r w:rsidRPr="006A59F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sz w:val="24"/>
          <w:szCs w:val="24"/>
        </w:rPr>
        <w:t xml:space="preserve">mention « </w:t>
      </w:r>
      <w:r w:rsidRPr="006A59FA">
        <w:rPr>
          <w:rFonts w:ascii="Times New Roman" w:hAnsi="Times New Roman" w:cs="Times New Roman"/>
          <w:b/>
          <w:sz w:val="24"/>
          <w:szCs w:val="24"/>
        </w:rPr>
        <w:t>manifestation d’intérêt</w:t>
      </w:r>
      <w:r w:rsidRPr="006A59FA">
        <w:rPr>
          <w:rFonts w:ascii="Times New Roman" w:hAnsi="Times New Roman" w:cs="Times New Roman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b/>
          <w:spacing w:val="-1"/>
          <w:sz w:val="24"/>
          <w:szCs w:val="24"/>
        </w:rPr>
        <w:t>pour la sélection d’un Consultant/Cabinet pour la fourniture de services relatifs à la programmation fonctionnelle et technique  d'infrastructures, étude socio-économique, études techniques détaillée</w:t>
      </w:r>
      <w:r w:rsidR="00F20686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6A59FA">
        <w:rPr>
          <w:rFonts w:ascii="Times New Roman" w:hAnsi="Times New Roman" w:cs="Times New Roman"/>
          <w:b/>
          <w:spacing w:val="-1"/>
          <w:sz w:val="24"/>
          <w:szCs w:val="24"/>
        </w:rPr>
        <w:t xml:space="preserve">, étude d'impact environnemental/ social et  élaboration d'un Dossier d'Appel d'Offres (DAO) des travaux de construction et d'aménagement de deux (02) </w:t>
      </w:r>
      <w:r w:rsidR="00F20686" w:rsidRPr="006A59FA">
        <w:rPr>
          <w:rFonts w:ascii="Times New Roman" w:hAnsi="Times New Roman" w:cs="Times New Roman"/>
          <w:b/>
          <w:spacing w:val="-1"/>
          <w:sz w:val="24"/>
          <w:szCs w:val="24"/>
        </w:rPr>
        <w:t>March</w:t>
      </w:r>
      <w:r w:rsidR="00F20686">
        <w:rPr>
          <w:rFonts w:ascii="Times New Roman" w:hAnsi="Times New Roman" w:cs="Times New Roman"/>
          <w:b/>
          <w:spacing w:val="-1"/>
          <w:sz w:val="24"/>
          <w:szCs w:val="24"/>
        </w:rPr>
        <w:t>é</w:t>
      </w:r>
      <w:r w:rsidR="00F20686" w:rsidRPr="006A59FA">
        <w:rPr>
          <w:rFonts w:ascii="Times New Roman" w:hAnsi="Times New Roman" w:cs="Times New Roman"/>
          <w:b/>
          <w:spacing w:val="-1"/>
          <w:sz w:val="24"/>
          <w:szCs w:val="24"/>
        </w:rPr>
        <w:t xml:space="preserve">s </w:t>
      </w:r>
      <w:r w:rsidRPr="006A59FA">
        <w:rPr>
          <w:rFonts w:ascii="Times New Roman" w:hAnsi="Times New Roman" w:cs="Times New Roman"/>
          <w:b/>
          <w:spacing w:val="-1"/>
          <w:sz w:val="24"/>
          <w:szCs w:val="24"/>
        </w:rPr>
        <w:t xml:space="preserve">de Demi-Gros (MDG) </w:t>
      </w:r>
      <w:r w:rsidR="001E179B" w:rsidRPr="006A59F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b/>
          <w:spacing w:val="-1"/>
          <w:sz w:val="24"/>
          <w:szCs w:val="24"/>
        </w:rPr>
        <w:t>de produit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s agricoles à TEBARAM ET ABALAK, </w:t>
      </w:r>
      <w:r w:rsidRPr="006A59FA">
        <w:rPr>
          <w:rFonts w:ascii="Times New Roman" w:hAnsi="Times New Roman" w:cs="Times New Roman"/>
          <w:b/>
          <w:spacing w:val="-1"/>
          <w:sz w:val="24"/>
          <w:szCs w:val="24"/>
        </w:rPr>
        <w:t>dans la région de TAHOUA</w:t>
      </w:r>
      <w:r w:rsidRPr="006A59FA">
        <w:rPr>
          <w:rFonts w:ascii="Times New Roman" w:hAnsi="Times New Roman" w:cs="Times New Roman"/>
          <w:b/>
          <w:sz w:val="24"/>
          <w:szCs w:val="24"/>
        </w:rPr>
        <w:t>».</w:t>
      </w:r>
    </w:p>
    <w:p w14:paraId="5D4DDD58" w14:textId="5F072CFE" w:rsidR="00FC65F8" w:rsidRPr="006A59FA" w:rsidRDefault="00FC65F8" w:rsidP="00FC65F8">
      <w:pPr>
        <w:spacing w:before="120" w:after="120"/>
        <w:ind w:left="-113" w:right="-34"/>
        <w:jc w:val="both"/>
        <w:rPr>
          <w:rFonts w:ascii="Times New Roman" w:hAnsi="Times New Roman" w:cs="Times New Roman"/>
          <w:sz w:val="24"/>
          <w:szCs w:val="24"/>
        </w:rPr>
      </w:pPr>
      <w:r w:rsidRPr="006A59FA">
        <w:rPr>
          <w:rFonts w:ascii="Times New Roman" w:hAnsi="Times New Roman" w:cs="Times New Roman"/>
          <w:sz w:val="24"/>
          <w:szCs w:val="24"/>
        </w:rPr>
        <w:t xml:space="preserve">Les offres présentées en un (1) original et deux (2) copies, conformément au Dossier de Présélection (DP), doivent être déposées </w:t>
      </w:r>
      <w:r>
        <w:rPr>
          <w:rFonts w:ascii="Times New Roman" w:hAnsi="Times New Roman" w:cs="Times New Roman"/>
          <w:sz w:val="24"/>
          <w:szCs w:val="24"/>
        </w:rPr>
        <w:t xml:space="preserve">à la </w:t>
      </w:r>
      <w:r w:rsidRPr="00F8164C">
        <w:rPr>
          <w:rFonts w:ascii="Times New Roman" w:hAnsi="Times New Roman" w:cs="Times New Roman"/>
          <w:b/>
          <w:sz w:val="24"/>
          <w:szCs w:val="24"/>
        </w:rPr>
        <w:t>Direction des Marchés Publics du Ministère de l’Agriculture, Porte B005 au Rez de chaussée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8164C">
        <w:rPr>
          <w:rFonts w:ascii="Times New Roman" w:hAnsi="Times New Roman" w:cs="Times New Roman"/>
          <w:sz w:val="24"/>
          <w:szCs w:val="24"/>
        </w:rPr>
        <w:t xml:space="preserve"> La date limite de remise des offres est fixée pour le </w:t>
      </w:r>
      <w:r w:rsidR="00F20686">
        <w:rPr>
          <w:rFonts w:ascii="Times New Roman" w:hAnsi="Times New Roman" w:cs="Times New Roman"/>
          <w:sz w:val="24"/>
          <w:szCs w:val="24"/>
        </w:rPr>
        <w:t xml:space="preserve">12 </w:t>
      </w:r>
      <w:r w:rsidR="009644C1">
        <w:rPr>
          <w:rFonts w:ascii="Times New Roman" w:hAnsi="Times New Roman" w:cs="Times New Roman"/>
          <w:sz w:val="24"/>
          <w:szCs w:val="24"/>
        </w:rPr>
        <w:t>Août 2021</w:t>
      </w:r>
      <w:r w:rsidRPr="00F8164C">
        <w:rPr>
          <w:rFonts w:ascii="Times New Roman" w:hAnsi="Times New Roman" w:cs="Times New Roman"/>
          <w:sz w:val="24"/>
          <w:szCs w:val="24"/>
        </w:rPr>
        <w:t xml:space="preserve"> à 10 heures</w:t>
      </w:r>
      <w:r w:rsidR="009644C1">
        <w:rPr>
          <w:rFonts w:ascii="Times New Roman" w:hAnsi="Times New Roman" w:cs="Times New Roman"/>
          <w:sz w:val="24"/>
          <w:szCs w:val="24"/>
        </w:rPr>
        <w:t xml:space="preserve"> </w:t>
      </w:r>
      <w:r w:rsidR="009644C1" w:rsidRPr="006A59FA">
        <w:rPr>
          <w:rFonts w:ascii="Times New Roman" w:hAnsi="Times New Roman" w:cs="Times New Roman"/>
          <w:sz w:val="24"/>
          <w:szCs w:val="24"/>
        </w:rPr>
        <w:t>00 minutes</w:t>
      </w:r>
      <w:r w:rsidRPr="00F8164C">
        <w:rPr>
          <w:rFonts w:ascii="Times New Roman" w:hAnsi="Times New Roman" w:cs="Times New Roman"/>
          <w:sz w:val="24"/>
          <w:szCs w:val="24"/>
        </w:rPr>
        <w:t>. Les offres reçues après le délai fixé seront rejetées</w:t>
      </w:r>
      <w:r w:rsidRPr="006A59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3167CA" w14:textId="6E51D118" w:rsidR="00FC65F8" w:rsidRPr="006A59FA" w:rsidRDefault="009644C1" w:rsidP="00FC65F8">
      <w:pPr>
        <w:spacing w:before="120" w:after="120"/>
        <w:ind w:left="-113" w:right="-34"/>
        <w:jc w:val="both"/>
        <w:rPr>
          <w:rFonts w:ascii="Times New Roman" w:hAnsi="Times New Roman" w:cs="Times New Roman"/>
          <w:sz w:val="24"/>
          <w:szCs w:val="24"/>
        </w:rPr>
      </w:pPr>
      <w:r w:rsidRPr="009644C1">
        <w:rPr>
          <w:rFonts w:ascii="Times New Roman" w:hAnsi="Times New Roman" w:cs="Times New Roman"/>
          <w:sz w:val="24"/>
          <w:szCs w:val="24"/>
        </w:rPr>
        <w:t>L’ouverture des plis aura lieu dans la grande salle de réunion du Ministère de l’Agriculture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65F8" w:rsidRPr="006A5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F20686" w:rsidRPr="009644C1">
        <w:rPr>
          <w:rFonts w:ascii="Times New Roman" w:hAnsi="Times New Roman" w:cs="Times New Roman"/>
          <w:sz w:val="24"/>
          <w:szCs w:val="24"/>
        </w:rPr>
        <w:t>1</w:t>
      </w:r>
      <w:r w:rsidR="00F20686">
        <w:rPr>
          <w:rFonts w:ascii="Times New Roman" w:hAnsi="Times New Roman" w:cs="Times New Roman"/>
          <w:sz w:val="24"/>
          <w:szCs w:val="24"/>
        </w:rPr>
        <w:t>2</w:t>
      </w:r>
      <w:r w:rsidR="00F20686" w:rsidRPr="009644C1">
        <w:rPr>
          <w:rFonts w:ascii="Times New Roman" w:hAnsi="Times New Roman" w:cs="Times New Roman"/>
          <w:sz w:val="24"/>
          <w:szCs w:val="24"/>
        </w:rPr>
        <w:t xml:space="preserve"> </w:t>
      </w:r>
      <w:r w:rsidRPr="009644C1">
        <w:rPr>
          <w:rFonts w:ascii="Times New Roman" w:hAnsi="Times New Roman" w:cs="Times New Roman"/>
          <w:sz w:val="24"/>
          <w:szCs w:val="24"/>
        </w:rPr>
        <w:t>Août 2021 à 10 heures</w:t>
      </w:r>
      <w:r w:rsidR="00FC65F8" w:rsidRPr="006A59FA">
        <w:rPr>
          <w:rFonts w:ascii="Times New Roman" w:hAnsi="Times New Roman" w:cs="Times New Roman"/>
          <w:sz w:val="24"/>
          <w:szCs w:val="24"/>
        </w:rPr>
        <w:t xml:space="preserve"> 00 minutes ; en présence des représentants des soumissionnaires qui souhaitent y assister.</w:t>
      </w:r>
    </w:p>
    <w:p w14:paraId="1E2635CA" w14:textId="5B609A4C" w:rsidR="00FC65F8" w:rsidRPr="006A59FA" w:rsidRDefault="00FC65F8" w:rsidP="00FC65F8">
      <w:pPr>
        <w:spacing w:before="120" w:after="120"/>
        <w:ind w:left="-113" w:right="-34"/>
        <w:jc w:val="both"/>
        <w:rPr>
          <w:rFonts w:ascii="Times New Roman" w:hAnsi="Times New Roman" w:cs="Times New Roman"/>
          <w:sz w:val="24"/>
          <w:szCs w:val="24"/>
        </w:rPr>
      </w:pPr>
      <w:r w:rsidRPr="0035454D">
        <w:rPr>
          <w:rFonts w:ascii="Times New Roman" w:hAnsi="Times New Roman" w:cs="Times New Roman"/>
          <w:sz w:val="24"/>
          <w:szCs w:val="24"/>
        </w:rPr>
        <w:t>Par décision motivée</w:t>
      </w:r>
      <w:r>
        <w:rPr>
          <w:rFonts w:ascii="Times New Roman" w:hAnsi="Times New Roman" w:cs="Times New Roman"/>
          <w:sz w:val="24"/>
          <w:szCs w:val="24"/>
        </w:rPr>
        <w:t>, l</w:t>
      </w:r>
      <w:r w:rsidR="00F20686">
        <w:rPr>
          <w:rFonts w:ascii="Times New Roman" w:hAnsi="Times New Roman" w:cs="Times New Roman"/>
          <w:sz w:val="24"/>
          <w:szCs w:val="24"/>
        </w:rPr>
        <w:t>e Ministère de l</w:t>
      </w:r>
      <w:r>
        <w:rPr>
          <w:rFonts w:ascii="Times New Roman" w:hAnsi="Times New Roman" w:cs="Times New Roman"/>
          <w:sz w:val="24"/>
          <w:szCs w:val="24"/>
        </w:rPr>
        <w:t>’A</w:t>
      </w:r>
      <w:r w:rsidR="00F20686">
        <w:rPr>
          <w:rFonts w:ascii="Times New Roman" w:hAnsi="Times New Roman" w:cs="Times New Roman"/>
          <w:sz w:val="24"/>
          <w:szCs w:val="24"/>
        </w:rPr>
        <w:t>griculture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54D">
        <w:rPr>
          <w:rFonts w:ascii="Times New Roman" w:hAnsi="Times New Roman" w:cs="Times New Roman"/>
          <w:sz w:val="24"/>
          <w:szCs w:val="24"/>
        </w:rPr>
        <w:t>se réserve le droit de ne donner aucune suite à tout ou partie de la présente consultation</w:t>
      </w:r>
      <w:r w:rsidR="009644C1">
        <w:rPr>
          <w:rFonts w:ascii="Times New Roman" w:hAnsi="Times New Roman" w:cs="Times New Roman"/>
          <w:sz w:val="24"/>
          <w:szCs w:val="24"/>
        </w:rPr>
        <w:t>.</w:t>
      </w:r>
    </w:p>
    <w:p w14:paraId="3AEA4A7E" w14:textId="7E36DC03" w:rsidR="00C60D55" w:rsidRPr="008442F6" w:rsidRDefault="00FC65F8" w:rsidP="00C60D55">
      <w:pPr>
        <w:tabs>
          <w:tab w:val="left" w:pos="1345"/>
        </w:tabs>
        <w:jc w:val="right"/>
        <w:rPr>
          <w:rFonts w:ascii="Times New Roman" w:hAnsi="Times New Roman" w:cs="Times New Roman"/>
          <w:b/>
          <w:sz w:val="23"/>
          <w:szCs w:val="23"/>
          <w:lang w:eastAsia="fr-FR"/>
        </w:rPr>
      </w:pPr>
      <w:r>
        <w:rPr>
          <w:rFonts w:ascii="Times New Roman" w:hAnsi="Times New Roman" w:cs="Times New Roman"/>
          <w:b/>
          <w:sz w:val="23"/>
          <w:szCs w:val="23"/>
          <w:lang w:eastAsia="fr-FR"/>
        </w:rPr>
        <w:t xml:space="preserve">Le </w:t>
      </w:r>
      <w:r w:rsidR="00F20686">
        <w:rPr>
          <w:rFonts w:ascii="Times New Roman" w:hAnsi="Times New Roman" w:cs="Times New Roman"/>
          <w:b/>
          <w:sz w:val="23"/>
          <w:szCs w:val="23"/>
          <w:lang w:eastAsia="fr-FR"/>
        </w:rPr>
        <w:t xml:space="preserve">Secrétaire Général du </w:t>
      </w:r>
      <w:r w:rsidR="00C60D55" w:rsidRPr="008442F6">
        <w:rPr>
          <w:rFonts w:ascii="Times New Roman" w:hAnsi="Times New Roman" w:cs="Times New Roman"/>
          <w:b/>
          <w:sz w:val="23"/>
          <w:szCs w:val="23"/>
          <w:lang w:eastAsia="fr-FR"/>
        </w:rPr>
        <w:t>Minist</w:t>
      </w:r>
      <w:r w:rsidR="00F20686">
        <w:rPr>
          <w:rFonts w:ascii="Times New Roman" w:hAnsi="Times New Roman" w:cs="Times New Roman"/>
          <w:b/>
          <w:sz w:val="23"/>
          <w:szCs w:val="23"/>
          <w:lang w:eastAsia="fr-FR"/>
        </w:rPr>
        <w:t>è</w:t>
      </w:r>
      <w:r w:rsidR="00C60D55" w:rsidRPr="008442F6">
        <w:rPr>
          <w:rFonts w:ascii="Times New Roman" w:hAnsi="Times New Roman" w:cs="Times New Roman"/>
          <w:b/>
          <w:sz w:val="23"/>
          <w:szCs w:val="23"/>
          <w:lang w:eastAsia="fr-FR"/>
        </w:rPr>
        <w:t xml:space="preserve">re </w:t>
      </w:r>
      <w:r>
        <w:rPr>
          <w:rFonts w:ascii="Times New Roman" w:hAnsi="Times New Roman" w:cs="Times New Roman"/>
          <w:b/>
          <w:sz w:val="23"/>
          <w:szCs w:val="23"/>
          <w:lang w:eastAsia="fr-FR"/>
        </w:rPr>
        <w:t>de l’Agriculture</w:t>
      </w:r>
    </w:p>
    <w:p w14:paraId="4938A1E2" w14:textId="240C4BC6" w:rsidR="00C60D55" w:rsidRPr="008442F6" w:rsidRDefault="00C60D55" w:rsidP="00BD1B1E">
      <w:pPr>
        <w:tabs>
          <w:tab w:val="left" w:pos="1345"/>
        </w:tabs>
        <w:jc w:val="right"/>
        <w:rPr>
          <w:rFonts w:ascii="Times New Roman" w:hAnsi="Times New Roman" w:cs="Times New Roman"/>
          <w:sz w:val="23"/>
          <w:szCs w:val="23"/>
          <w:lang w:eastAsia="fr-FR"/>
        </w:rPr>
      </w:pPr>
      <w:r w:rsidRPr="008442F6">
        <w:rPr>
          <w:rFonts w:ascii="Times New Roman" w:hAnsi="Times New Roman" w:cs="Times New Roman"/>
          <w:b/>
          <w:sz w:val="23"/>
          <w:szCs w:val="23"/>
          <w:lang w:eastAsia="fr-FR"/>
        </w:rPr>
        <w:t xml:space="preserve">                                        </w:t>
      </w:r>
      <w:r w:rsidR="00F20686">
        <w:rPr>
          <w:rFonts w:ascii="Times New Roman" w:hAnsi="Times New Roman" w:cs="Times New Roman"/>
          <w:b/>
          <w:sz w:val="23"/>
          <w:szCs w:val="23"/>
          <w:lang w:val="en-US" w:eastAsia="fr-FR"/>
        </w:rPr>
        <w:t>DIAMOITOU GUESSIBO BOUKARI</w:t>
      </w:r>
      <w:r w:rsidRPr="008442F6">
        <w:rPr>
          <w:rFonts w:ascii="Times New Roman" w:hAnsi="Times New Roman" w:cs="Times New Roman"/>
          <w:b/>
          <w:sz w:val="23"/>
          <w:szCs w:val="23"/>
          <w:lang w:val="en-US" w:eastAsia="fr-FR"/>
        </w:rPr>
        <w:t xml:space="preserve"> </w:t>
      </w:r>
    </w:p>
    <w:sectPr w:rsidR="00C60D55" w:rsidRPr="008442F6" w:rsidSect="0065574C">
      <w:pgSz w:w="11906" w:h="16838"/>
      <w:pgMar w:top="568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504CD" w14:textId="77777777" w:rsidR="0047435A" w:rsidRDefault="0047435A" w:rsidP="00FC65F8">
      <w:r>
        <w:separator/>
      </w:r>
    </w:p>
  </w:endnote>
  <w:endnote w:type="continuationSeparator" w:id="0">
    <w:p w14:paraId="6826487C" w14:textId="77777777" w:rsidR="0047435A" w:rsidRDefault="0047435A" w:rsidP="00FC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CA274" w14:textId="77777777" w:rsidR="0047435A" w:rsidRDefault="0047435A" w:rsidP="00FC65F8">
      <w:r>
        <w:separator/>
      </w:r>
    </w:p>
  </w:footnote>
  <w:footnote w:type="continuationSeparator" w:id="0">
    <w:p w14:paraId="6F53A0DE" w14:textId="77777777" w:rsidR="0047435A" w:rsidRDefault="0047435A" w:rsidP="00FC6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72"/>
    <w:rsid w:val="000728B7"/>
    <w:rsid w:val="000D21F6"/>
    <w:rsid w:val="0010117D"/>
    <w:rsid w:val="001E179B"/>
    <w:rsid w:val="00296975"/>
    <w:rsid w:val="0047435A"/>
    <w:rsid w:val="005D60ED"/>
    <w:rsid w:val="0065574C"/>
    <w:rsid w:val="006C460B"/>
    <w:rsid w:val="0073664A"/>
    <w:rsid w:val="007C0D88"/>
    <w:rsid w:val="008442F6"/>
    <w:rsid w:val="00847E7F"/>
    <w:rsid w:val="00896266"/>
    <w:rsid w:val="009644C1"/>
    <w:rsid w:val="00973213"/>
    <w:rsid w:val="00A51EF6"/>
    <w:rsid w:val="00AA1A94"/>
    <w:rsid w:val="00B063B4"/>
    <w:rsid w:val="00B11651"/>
    <w:rsid w:val="00B270BC"/>
    <w:rsid w:val="00BD1B1E"/>
    <w:rsid w:val="00C60D55"/>
    <w:rsid w:val="00DB7372"/>
    <w:rsid w:val="00F20686"/>
    <w:rsid w:val="00F7020C"/>
    <w:rsid w:val="00FC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7AC5"/>
  <w15:chartTrackingRefBased/>
  <w15:docId w15:val="{7DA9835C-E1EA-4F4D-BAB6-28C21A56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372"/>
    <w:pPr>
      <w:spacing w:after="0" w:line="240" w:lineRule="auto"/>
    </w:pPr>
    <w:rPr>
      <w:rFonts w:ascii="Verdana" w:eastAsia="Times New Roman" w:hAnsi="Verdana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DB7372"/>
    <w:rPr>
      <w:color w:val="0000FF"/>
      <w:u w:val="single"/>
    </w:rPr>
  </w:style>
  <w:style w:type="character" w:styleId="lev">
    <w:name w:val="Strong"/>
    <w:qFormat/>
    <w:rsid w:val="00296975"/>
    <w:rPr>
      <w:b/>
    </w:rPr>
  </w:style>
  <w:style w:type="paragraph" w:styleId="En-tte">
    <w:name w:val="header"/>
    <w:basedOn w:val="Normal"/>
    <w:link w:val="En-tteCar"/>
    <w:uiPriority w:val="99"/>
    <w:unhideWhenUsed/>
    <w:rsid w:val="00FC65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65F8"/>
    <w:rPr>
      <w:rFonts w:ascii="Verdana" w:eastAsia="Times New Roman" w:hAnsi="Verdana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C6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65F8"/>
    <w:rPr>
      <w:rFonts w:ascii="Verdana" w:eastAsia="Times New Roman" w:hAnsi="Verdana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60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0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ki.souley@prodaf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odo.marou@prodaf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2021-07-06T19:54:00Z</dcterms:created>
  <dcterms:modified xsi:type="dcterms:W3CDTF">2021-07-06T19:54:00Z</dcterms:modified>
</cp:coreProperties>
</file>